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21CFB" w14:textId="3FB90164" w:rsidR="00D560ED" w:rsidRPr="00497BE1" w:rsidRDefault="00D560ED" w:rsidP="00D560ED">
      <w:pPr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Cambria"/>
          <w:iCs/>
          <w:sz w:val="20"/>
          <w:szCs w:val="20"/>
        </w:rPr>
        <w:t>Promnik</w:t>
      </w:r>
      <w:r w:rsidRPr="00497BE1">
        <w:rPr>
          <w:rFonts w:ascii="Cambria" w:hAnsi="Cambria" w:cs="Cambria"/>
          <w:iCs/>
          <w:sz w:val="20"/>
          <w:szCs w:val="20"/>
        </w:rPr>
        <w:t xml:space="preserve">, dnia </w:t>
      </w:r>
      <w:r w:rsidR="00E111CF">
        <w:rPr>
          <w:rFonts w:ascii="Cambria" w:hAnsi="Cambria" w:cs="Cambria"/>
          <w:iCs/>
          <w:sz w:val="20"/>
          <w:szCs w:val="20"/>
        </w:rPr>
        <w:t>01</w:t>
      </w:r>
      <w:r>
        <w:rPr>
          <w:rFonts w:ascii="Cambria" w:hAnsi="Cambria" w:cs="Cambria"/>
          <w:iCs/>
          <w:sz w:val="20"/>
          <w:szCs w:val="20"/>
        </w:rPr>
        <w:t>.1</w:t>
      </w:r>
      <w:r w:rsidR="00E111CF">
        <w:rPr>
          <w:rFonts w:ascii="Cambria" w:hAnsi="Cambria" w:cs="Cambria"/>
          <w:iCs/>
          <w:sz w:val="20"/>
          <w:szCs w:val="20"/>
        </w:rPr>
        <w:t>2</w:t>
      </w:r>
      <w:r>
        <w:rPr>
          <w:rFonts w:ascii="Cambria" w:hAnsi="Cambria" w:cs="Cambria"/>
          <w:iCs/>
          <w:sz w:val="20"/>
          <w:szCs w:val="20"/>
        </w:rPr>
        <w:t>.2021</w:t>
      </w:r>
      <w:r w:rsidRPr="00497BE1">
        <w:rPr>
          <w:rFonts w:ascii="Cambria" w:hAnsi="Cambria" w:cs="Cambria"/>
          <w:iCs/>
          <w:sz w:val="20"/>
          <w:szCs w:val="20"/>
        </w:rPr>
        <w:t xml:space="preserve"> r.</w:t>
      </w:r>
    </w:p>
    <w:p w14:paraId="226E7C23" w14:textId="77777777" w:rsidR="00D560ED" w:rsidRPr="00497BE1" w:rsidRDefault="00D560ED" w:rsidP="00D560ED">
      <w:pPr>
        <w:adjustRightInd w:val="0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039D11FA" w14:textId="77777777" w:rsidR="00D560ED" w:rsidRDefault="00D560ED" w:rsidP="00D560ED">
      <w:pPr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3BC74D55" w14:textId="4487E932" w:rsidR="00D560ED" w:rsidRPr="00497BE1" w:rsidRDefault="00D560ED" w:rsidP="00D560ED">
      <w:pPr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497BE1">
        <w:rPr>
          <w:rFonts w:ascii="Cambria" w:hAnsi="Cambria" w:cs="Arial"/>
          <w:b/>
          <w:bCs/>
          <w:color w:val="000000"/>
          <w:sz w:val="20"/>
          <w:szCs w:val="20"/>
        </w:rPr>
        <w:t xml:space="preserve">INFORMACJA dla Wykonawców nr </w:t>
      </w:r>
      <w:r w:rsidR="00507263">
        <w:rPr>
          <w:rFonts w:ascii="Cambria" w:hAnsi="Cambria" w:cs="Arial"/>
          <w:b/>
          <w:bCs/>
          <w:color w:val="000000"/>
          <w:sz w:val="20"/>
          <w:szCs w:val="20"/>
        </w:rPr>
        <w:t>4</w:t>
      </w:r>
    </w:p>
    <w:p w14:paraId="67EE817B" w14:textId="77777777" w:rsidR="00D560ED" w:rsidRPr="00497BE1" w:rsidRDefault="00D560ED" w:rsidP="00D560ED">
      <w:pPr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43EA3016" w14:textId="77777777" w:rsidR="00D560ED" w:rsidRPr="00497BE1" w:rsidRDefault="00D560ED" w:rsidP="00D560ED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497BE1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</w:p>
    <w:p w14:paraId="0A43A51F" w14:textId="77777777" w:rsidR="00D560ED" w:rsidRPr="00497BE1" w:rsidRDefault="00D560ED" w:rsidP="00D560ED">
      <w:pPr>
        <w:pStyle w:val="Podtytu"/>
        <w:jc w:val="center"/>
        <w:rPr>
          <w:sz w:val="20"/>
          <w:szCs w:val="20"/>
        </w:rPr>
      </w:pPr>
    </w:p>
    <w:p w14:paraId="602243AB" w14:textId="77777777" w:rsidR="00D560ED" w:rsidRDefault="00D560ED" w:rsidP="00D560ED">
      <w:pPr>
        <w:shd w:val="clear" w:color="auto" w:fill="BFBFBF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D8AD3CF" w14:textId="77777777" w:rsidR="00D560ED" w:rsidRDefault="00D560ED" w:rsidP="00D560ED">
      <w:pPr>
        <w:shd w:val="clear" w:color="auto" w:fill="BFBFBF"/>
        <w:jc w:val="center"/>
        <w:rPr>
          <w:rFonts w:ascii="Cambria" w:hAnsi="Cambria" w:cs="Arial"/>
          <w:b/>
          <w:bCs/>
          <w:sz w:val="20"/>
          <w:szCs w:val="20"/>
        </w:rPr>
      </w:pPr>
      <w:r w:rsidRPr="005C16AF">
        <w:rPr>
          <w:rFonts w:ascii="Cambria" w:hAnsi="Cambria" w:cs="Arial"/>
          <w:b/>
          <w:bCs/>
          <w:sz w:val="20"/>
          <w:szCs w:val="20"/>
        </w:rPr>
        <w:t>„</w:t>
      </w:r>
      <w:r w:rsidRPr="00A249FA">
        <w:rPr>
          <w:rFonts w:ascii="Cambria" w:hAnsi="Cambria" w:cs="Cambria"/>
          <w:b/>
          <w:bCs/>
          <w:sz w:val="20"/>
          <w:szCs w:val="20"/>
        </w:rPr>
        <w:t>Ubezpieczenie mienia, w tym sprzętu elektronicznego, ubezpieczenie utraty zysku, ubezpieczenie OC z tytułu prowadzenia działalności, ubezpieczenia maszyn budowlanych oraz ubezpieczenia komunikacyjne</w:t>
      </w:r>
      <w:r w:rsidRPr="005C16AF">
        <w:rPr>
          <w:rFonts w:ascii="Cambria" w:hAnsi="Cambria" w:cs="Arial"/>
          <w:b/>
          <w:bCs/>
          <w:sz w:val="20"/>
          <w:szCs w:val="20"/>
        </w:rPr>
        <w:t>”</w:t>
      </w:r>
    </w:p>
    <w:p w14:paraId="71EC7A1F" w14:textId="77777777" w:rsidR="00D560ED" w:rsidRPr="003F4C03" w:rsidRDefault="00D560ED" w:rsidP="00D560ED">
      <w:pPr>
        <w:shd w:val="clear" w:color="auto" w:fill="BFBFBF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815F3DF" w14:textId="6C4F262E" w:rsidR="00D560ED" w:rsidRPr="00D560ED" w:rsidRDefault="00D560ED" w:rsidP="00D72AB5">
      <w:pPr>
        <w:jc w:val="both"/>
        <w:rPr>
          <w:rFonts w:ascii="Cambria" w:hAnsi="Cambria" w:cs="Arial"/>
          <w:bCs/>
          <w:sz w:val="20"/>
          <w:szCs w:val="20"/>
          <w:lang w:eastAsia="pl-PL"/>
        </w:rPr>
      </w:pPr>
      <w:r w:rsidRPr="00D560ED">
        <w:rPr>
          <w:rFonts w:ascii="Cambria" w:hAnsi="Cambria" w:cs="Arial"/>
          <w:bCs/>
          <w:sz w:val="20"/>
          <w:szCs w:val="20"/>
          <w:lang w:eastAsia="pl-PL"/>
        </w:rPr>
        <w:t xml:space="preserve">Zamawiający działając na podstawie art. 135 ust. 6 oraz ustawy z dnia 11 września 2019 r. Prawo zamówień publicznych  (Dz. U. z 2021 r. poz. 1129 ze zm. – zwanej dalej „ustawą </w:t>
      </w:r>
      <w:proofErr w:type="spellStart"/>
      <w:r w:rsidRPr="00D560ED">
        <w:rPr>
          <w:rFonts w:ascii="Cambria" w:hAnsi="Cambria" w:cs="Arial"/>
          <w:bCs/>
          <w:sz w:val="20"/>
          <w:szCs w:val="20"/>
          <w:lang w:eastAsia="pl-PL"/>
        </w:rPr>
        <w:t>Pzp</w:t>
      </w:r>
      <w:proofErr w:type="spellEnd"/>
      <w:r w:rsidRPr="00D560ED">
        <w:rPr>
          <w:rFonts w:ascii="Cambria" w:hAnsi="Cambria" w:cs="Arial"/>
          <w:bCs/>
          <w:sz w:val="20"/>
          <w:szCs w:val="20"/>
          <w:lang w:eastAsia="pl-PL"/>
        </w:rPr>
        <w:t xml:space="preserve">.”) udziela </w:t>
      </w:r>
      <w:r w:rsidR="00D72AB5">
        <w:rPr>
          <w:rFonts w:ascii="Cambria" w:hAnsi="Cambria" w:cs="Arial"/>
          <w:bCs/>
          <w:sz w:val="20"/>
          <w:szCs w:val="20"/>
          <w:lang w:eastAsia="pl-PL"/>
        </w:rPr>
        <w:t xml:space="preserve">uzupełniającej </w:t>
      </w:r>
      <w:r w:rsidRPr="00D560ED">
        <w:rPr>
          <w:rFonts w:ascii="Cambria" w:hAnsi="Cambria" w:cs="Arial"/>
          <w:bCs/>
          <w:sz w:val="20"/>
          <w:szCs w:val="20"/>
          <w:lang w:eastAsia="pl-PL"/>
        </w:rPr>
        <w:t>odpowiedzi na pytani</w:t>
      </w:r>
      <w:r w:rsidR="00D72AB5">
        <w:rPr>
          <w:rFonts w:ascii="Cambria" w:hAnsi="Cambria" w:cs="Arial"/>
          <w:bCs/>
          <w:sz w:val="20"/>
          <w:szCs w:val="20"/>
          <w:lang w:eastAsia="pl-PL"/>
        </w:rPr>
        <w:t>e nr 18</w:t>
      </w:r>
      <w:r w:rsidRPr="00D560ED">
        <w:rPr>
          <w:rFonts w:ascii="Cambria" w:hAnsi="Cambria" w:cs="Arial"/>
          <w:bCs/>
          <w:sz w:val="20"/>
          <w:szCs w:val="20"/>
          <w:lang w:eastAsia="pl-PL"/>
        </w:rPr>
        <w:t xml:space="preserve"> </w:t>
      </w:r>
      <w:r w:rsidR="00507263">
        <w:rPr>
          <w:rFonts w:ascii="Cambria" w:hAnsi="Cambria" w:cs="Arial"/>
          <w:bCs/>
          <w:sz w:val="20"/>
          <w:szCs w:val="20"/>
          <w:lang w:eastAsia="pl-PL"/>
        </w:rPr>
        <w:t xml:space="preserve">z informacji dla wykonawców nr 3 z dnia 26.11.2021 </w:t>
      </w:r>
    </w:p>
    <w:p w14:paraId="1D396830" w14:textId="77777777" w:rsidR="00D560ED" w:rsidRPr="00D560ED" w:rsidRDefault="00D560ED" w:rsidP="00D560ED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4921E0E" w14:textId="77777777" w:rsidR="00861C25" w:rsidRDefault="00861C25" w:rsidP="00861C25">
      <w:pPr>
        <w:pStyle w:val="Bezodstpw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>Pytanie 18:</w:t>
      </w:r>
      <w:r w:rsidRPr="00D560ED">
        <w:rPr>
          <w:rFonts w:ascii="Cambria" w:hAnsi="Cambria" w:cs="Calibri"/>
          <w:sz w:val="20"/>
          <w:szCs w:val="20"/>
        </w:rPr>
        <w:t xml:space="preserve"> </w:t>
      </w:r>
    </w:p>
    <w:p w14:paraId="5497EF07" w14:textId="77777777" w:rsidR="00861C25" w:rsidRPr="00D560ED" w:rsidRDefault="00861C25" w:rsidP="00861C25">
      <w:pPr>
        <w:pStyle w:val="Bezodstpw"/>
        <w:rPr>
          <w:rFonts w:ascii="Cambria" w:hAnsi="Cambria" w:cs="Calibri"/>
          <w:sz w:val="20"/>
          <w:szCs w:val="20"/>
        </w:rPr>
      </w:pPr>
      <w:r w:rsidRPr="00D560ED">
        <w:rPr>
          <w:rFonts w:ascii="Cambria" w:hAnsi="Cambria" w:cs="Calibri"/>
          <w:sz w:val="20"/>
          <w:szCs w:val="20"/>
        </w:rPr>
        <w:t>Zwracamy się z uprzejmą prośbą o doprecyzowanie zapisów w Ubezpieczeniu utraty zysku odnośnie Przedmiotu i zakresu ubezpieczenia:</w:t>
      </w:r>
    </w:p>
    <w:p w14:paraId="63B9C79E" w14:textId="77777777" w:rsidR="00861C25" w:rsidRPr="00D560ED" w:rsidRDefault="00861C25" w:rsidP="00861C25">
      <w:pPr>
        <w:pStyle w:val="Bezodstpw"/>
        <w:rPr>
          <w:rFonts w:ascii="Cambria" w:hAnsi="Cambria" w:cs="Calibri"/>
          <w:sz w:val="20"/>
          <w:szCs w:val="20"/>
          <w:u w:val="single"/>
        </w:rPr>
      </w:pPr>
      <w:r w:rsidRPr="00D560ED">
        <w:rPr>
          <w:rFonts w:ascii="Cambria" w:hAnsi="Cambria" w:cs="Calibri"/>
          <w:sz w:val="20"/>
          <w:szCs w:val="20"/>
          <w:u w:val="single"/>
        </w:rPr>
        <w:t>Przedmiot i zakres ubezpieczenia:</w:t>
      </w:r>
    </w:p>
    <w:p w14:paraId="692BDDB3" w14:textId="77777777" w:rsidR="00861C25" w:rsidRPr="00D560ED" w:rsidRDefault="00861C25" w:rsidP="00861C25">
      <w:pPr>
        <w:pStyle w:val="Bezodstpw"/>
        <w:jc w:val="both"/>
        <w:rPr>
          <w:rFonts w:ascii="Cambria" w:hAnsi="Cambria" w:cs="Calibri"/>
          <w:sz w:val="20"/>
          <w:szCs w:val="20"/>
        </w:rPr>
      </w:pPr>
      <w:r w:rsidRPr="00D560ED">
        <w:rPr>
          <w:rFonts w:ascii="Cambria" w:hAnsi="Cambria" w:cs="Calibri"/>
          <w:sz w:val="20"/>
          <w:szCs w:val="20"/>
        </w:rPr>
        <w:t xml:space="preserve">Ochroną ubezpieczeniową objęty jest szacowany zysk brutto (stanowiący sumę wszystkich kosztów stałych działalności oraz zysku netto ze sprzedaży ) w maksymalnym okresie odszkodowawczym, jaki Zamawiający osiągnąłby w toku działalności, gdyby prowadzona przez niego działalność gospodarcza w miejscu ubezpieczenia nie została przerwana lub zakłócona na skutek szkody w mieniu, objętym ochroną Elementem I </w:t>
      </w:r>
      <w:proofErr w:type="spellStart"/>
      <w:r w:rsidRPr="00D560ED">
        <w:rPr>
          <w:rFonts w:ascii="Cambria" w:hAnsi="Cambria" w:cs="Calibri"/>
          <w:sz w:val="20"/>
          <w:szCs w:val="20"/>
        </w:rPr>
        <w:t>i</w:t>
      </w:r>
      <w:proofErr w:type="spellEnd"/>
      <w:r w:rsidRPr="00D560ED">
        <w:rPr>
          <w:rFonts w:ascii="Cambria" w:hAnsi="Cambria" w:cs="Calibri"/>
          <w:sz w:val="20"/>
          <w:szCs w:val="20"/>
        </w:rPr>
        <w:t xml:space="preserve"> w zakresie wynikającym z Elementu I, </w:t>
      </w:r>
      <w:r w:rsidRPr="00D560ED">
        <w:rPr>
          <w:rFonts w:ascii="Cambria" w:hAnsi="Cambria" w:cs="Calibri"/>
          <w:b/>
          <w:strike/>
          <w:sz w:val="20"/>
          <w:szCs w:val="20"/>
        </w:rPr>
        <w:t>w tym wynikającym z zakresu objętego klauzulami dodatkowymi</w:t>
      </w:r>
      <w:r w:rsidRPr="00D560ED">
        <w:rPr>
          <w:rFonts w:ascii="Cambria" w:hAnsi="Cambria" w:cs="Calibri"/>
          <w:sz w:val="20"/>
          <w:szCs w:val="20"/>
        </w:rPr>
        <w:t xml:space="preserve"> </w:t>
      </w:r>
      <w:r w:rsidRPr="00D560ED">
        <w:rPr>
          <w:rFonts w:ascii="Cambria" w:hAnsi="Cambria" w:cs="Calibri"/>
          <w:b/>
          <w:sz w:val="20"/>
          <w:szCs w:val="20"/>
        </w:rPr>
        <w:t>z wyłączeniem zakresu objętego klauzulami dodatkowymi</w:t>
      </w:r>
    </w:p>
    <w:p w14:paraId="52E50C0B" w14:textId="77777777" w:rsidR="00861C25" w:rsidRPr="00D560ED" w:rsidRDefault="00861C25" w:rsidP="00861C25">
      <w:pPr>
        <w:pStyle w:val="Bezodstpw"/>
        <w:jc w:val="both"/>
        <w:rPr>
          <w:rFonts w:ascii="Cambria" w:hAnsi="Cambria" w:cs="Calibri"/>
          <w:sz w:val="20"/>
          <w:szCs w:val="20"/>
        </w:rPr>
      </w:pPr>
      <w:r w:rsidRPr="00D560ED">
        <w:rPr>
          <w:rFonts w:ascii="Cambria" w:hAnsi="Cambria" w:cs="Calibri"/>
          <w:sz w:val="20"/>
          <w:szCs w:val="20"/>
        </w:rPr>
        <w:t>Ochroną ubezpieczeniową objęte jest nieosiągnięcie szacowanego zysku brutto i/lub konieczność ponoszenia zwiększonych kosztów działalności, powstałych wskutek zaistnienia w miejscu i okresie ubezpieczenia przerwy lub zakłócenia działalności gospodarczej prowadzonej przez Ubezpieczającego.</w:t>
      </w:r>
    </w:p>
    <w:p w14:paraId="380BF10A" w14:textId="77777777" w:rsidR="00861C25" w:rsidRPr="00D560ED" w:rsidRDefault="00861C25" w:rsidP="00861C25">
      <w:pPr>
        <w:pStyle w:val="Bezodstpw"/>
        <w:jc w:val="both"/>
        <w:rPr>
          <w:rFonts w:ascii="Cambria" w:hAnsi="Cambria" w:cs="Calibri"/>
          <w:sz w:val="20"/>
          <w:szCs w:val="20"/>
        </w:rPr>
      </w:pPr>
      <w:r w:rsidRPr="00D560ED">
        <w:rPr>
          <w:rFonts w:ascii="Cambria" w:hAnsi="Cambria" w:cs="Calibri"/>
          <w:sz w:val="20"/>
          <w:szCs w:val="20"/>
        </w:rPr>
        <w:t>Odszkodowanie obejmuje wartość utraconego zysku brutto wynikająca ze spadku wartości obrotu i wzrostu kosztów działalności gospodarczej, a wypłaconą sumę odszkodowania stanowić będzie:</w:t>
      </w:r>
    </w:p>
    <w:p w14:paraId="3D2AEDD1" w14:textId="77777777" w:rsidR="00861C25" w:rsidRPr="00D560ED" w:rsidRDefault="00861C25" w:rsidP="00861C25">
      <w:pPr>
        <w:pStyle w:val="Bezodstpw"/>
        <w:jc w:val="both"/>
        <w:rPr>
          <w:rFonts w:ascii="Cambria" w:hAnsi="Cambria" w:cs="Calibri"/>
          <w:sz w:val="20"/>
          <w:szCs w:val="20"/>
        </w:rPr>
      </w:pPr>
      <w:r w:rsidRPr="00D560ED">
        <w:rPr>
          <w:rFonts w:ascii="Cambria" w:hAnsi="Cambria" w:cs="Calibri"/>
          <w:sz w:val="20"/>
          <w:szCs w:val="20"/>
        </w:rPr>
        <w:t xml:space="preserve">1) w odniesieniu do spadku obrotu- kwota uzyskana z pomnożenia </w:t>
      </w:r>
      <w:r w:rsidRPr="00D560ED">
        <w:rPr>
          <w:rFonts w:ascii="Cambria" w:hAnsi="Cambria" w:cs="Calibri"/>
          <w:b/>
          <w:sz w:val="20"/>
          <w:szCs w:val="20"/>
        </w:rPr>
        <w:t>wskaźnika</w:t>
      </w:r>
      <w:r w:rsidRPr="00D560ED">
        <w:rPr>
          <w:rFonts w:ascii="Cambria" w:hAnsi="Cambria" w:cs="Calibri"/>
          <w:sz w:val="20"/>
          <w:szCs w:val="20"/>
        </w:rPr>
        <w:t xml:space="preserve"> zysku Brutto przez wielkość, o jaką obrót uzyskany w okresie odszkodowawczym zmniejszył się na skutek szkody w mieniu, w stosunku do obrotu uzyskanego w analogicznym okresie równym okresowi odszkodowawczemu z okresu 12 miesięcy bezpośrednio poprzedzających szkodę w mieniu,</w:t>
      </w:r>
    </w:p>
    <w:p w14:paraId="32F234F5" w14:textId="77777777" w:rsidR="00861C25" w:rsidRPr="00D560ED" w:rsidRDefault="00861C25" w:rsidP="00861C25">
      <w:pPr>
        <w:pStyle w:val="Bezodstpw"/>
        <w:jc w:val="both"/>
        <w:rPr>
          <w:rFonts w:ascii="Cambria" w:hAnsi="Cambria" w:cs="Calibri"/>
          <w:sz w:val="20"/>
          <w:szCs w:val="20"/>
        </w:rPr>
      </w:pPr>
      <w:r w:rsidRPr="00D560ED">
        <w:rPr>
          <w:rFonts w:ascii="Cambria" w:hAnsi="Cambria" w:cs="Calibri"/>
          <w:sz w:val="20"/>
          <w:szCs w:val="20"/>
        </w:rPr>
        <w:t>2) w odniesieniu do wzrostu kosztów działalności gospodarczej- kwota dodatkowych, uzasadnionych wydatków poniesionych w celu uniknięcia lub zminimalizowania spadku obrotu, który gdyby nie te wydatki, nastąpiłby w okresie odszkodowawczym. Kwota ta nie może przekroczyć sumy wyliczonej poprzez pomnożenie wskaźnika Zysku Brutto przez wartość unikniętego w ten sposób spadku obrotu, pomniejszona o wszelkie zaoszczędzone w okresie odszkodowawczym wydatki obciążające Zysk Brutto, których Ubezpieczający nie musiał ponosić lub poniósł w ograniczonym zakresie w związku z powstałą szkodą.</w:t>
      </w:r>
    </w:p>
    <w:p w14:paraId="10E6602A" w14:textId="77777777" w:rsidR="00861C25" w:rsidRPr="00D560ED" w:rsidRDefault="00861C25" w:rsidP="00861C25">
      <w:pPr>
        <w:pStyle w:val="Bezodstpw"/>
        <w:rPr>
          <w:rFonts w:ascii="Cambria" w:hAnsi="Cambria" w:cs="Calibri"/>
          <w:sz w:val="20"/>
          <w:szCs w:val="20"/>
        </w:rPr>
      </w:pPr>
    </w:p>
    <w:p w14:paraId="7103F7D5" w14:textId="77777777" w:rsidR="00861C25" w:rsidRPr="00D560ED" w:rsidRDefault="00861C25" w:rsidP="00861C25">
      <w:pPr>
        <w:pStyle w:val="Bezodstpw"/>
        <w:jc w:val="both"/>
        <w:rPr>
          <w:rFonts w:ascii="Cambria" w:hAnsi="Cambria" w:cs="Calibri"/>
          <w:sz w:val="20"/>
          <w:szCs w:val="20"/>
        </w:rPr>
      </w:pPr>
      <w:r w:rsidRPr="00D560ED">
        <w:rPr>
          <w:rFonts w:ascii="Cambria" w:hAnsi="Cambria" w:cs="Calibri"/>
          <w:sz w:val="20"/>
          <w:szCs w:val="20"/>
        </w:rPr>
        <w:t>Jeżeli odpowiedź na niniejsze pytanie będzie twierdząca zwracamy się z uprzejmą prośbą o odpowiednią modyfikację SWZ w tym zakresie.</w:t>
      </w:r>
    </w:p>
    <w:p w14:paraId="404798A5" w14:textId="77777777" w:rsidR="00861C25" w:rsidRPr="00D560ED" w:rsidRDefault="00861C25" w:rsidP="00861C25">
      <w:pPr>
        <w:pStyle w:val="Bezodstpw"/>
        <w:rPr>
          <w:rFonts w:ascii="Cambria" w:hAnsi="Cambria" w:cs="Calibri"/>
          <w:sz w:val="20"/>
          <w:szCs w:val="20"/>
        </w:rPr>
      </w:pPr>
    </w:p>
    <w:p w14:paraId="15B7CBEF" w14:textId="77777777" w:rsidR="00861C25" w:rsidRDefault="00861C25" w:rsidP="00861C25">
      <w:pPr>
        <w:pStyle w:val="Bezodstpw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>ODPOWIEDŹ</w:t>
      </w:r>
      <w:r w:rsidRPr="00D560ED">
        <w:rPr>
          <w:rFonts w:ascii="Cambria" w:hAnsi="Cambria" w:cs="Calibri"/>
          <w:b/>
          <w:bCs/>
          <w:sz w:val="20"/>
          <w:szCs w:val="20"/>
        </w:rPr>
        <w:t xml:space="preserve">: </w:t>
      </w:r>
    </w:p>
    <w:p w14:paraId="47174912" w14:textId="77777777" w:rsidR="00861C25" w:rsidRPr="00D560ED" w:rsidRDefault="00861C25" w:rsidP="00861C25">
      <w:pPr>
        <w:pStyle w:val="Bezodstpw"/>
        <w:rPr>
          <w:rFonts w:ascii="Cambria" w:hAnsi="Cambria" w:cs="Calibri"/>
          <w:sz w:val="20"/>
          <w:szCs w:val="20"/>
        </w:rPr>
      </w:pPr>
      <w:r w:rsidRPr="00D560ED">
        <w:rPr>
          <w:rFonts w:ascii="Cambria" w:hAnsi="Cambria" w:cs="Calibri"/>
          <w:sz w:val="20"/>
          <w:szCs w:val="20"/>
        </w:rPr>
        <w:t>Zamawiający potwierdza wprowadzenie modyfikacji w pkt. II.4.1.1.1.2 Element II – Ubezpieczenie utraty zysku -zakres obligatoryjny na następujący zapis: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655"/>
      </w:tblGrid>
      <w:tr w:rsidR="00861C25" w:rsidRPr="00D560ED" w14:paraId="6BD478CD" w14:textId="77777777" w:rsidTr="003775CB">
        <w:trPr>
          <w:trHeight w:val="247"/>
        </w:trPr>
        <w:tc>
          <w:tcPr>
            <w:tcW w:w="2338" w:type="dxa"/>
          </w:tcPr>
          <w:p w14:paraId="635B08AF" w14:textId="77777777" w:rsidR="00861C25" w:rsidRPr="00D560ED" w:rsidRDefault="00861C25" w:rsidP="003775CB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560ED">
              <w:rPr>
                <w:rFonts w:ascii="Cambria" w:hAnsi="Cambria" w:cs="Calibri"/>
                <w:sz w:val="20"/>
                <w:szCs w:val="20"/>
              </w:rPr>
              <w:t>Przedmiot i zakres ubezpieczenia</w:t>
            </w:r>
          </w:p>
        </w:tc>
        <w:tc>
          <w:tcPr>
            <w:tcW w:w="7655" w:type="dxa"/>
          </w:tcPr>
          <w:p w14:paraId="366916EA" w14:textId="77777777" w:rsidR="00861C25" w:rsidRPr="00D560ED" w:rsidRDefault="00861C25" w:rsidP="003775CB">
            <w:pPr>
              <w:adjustRightInd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560ED">
              <w:rPr>
                <w:rFonts w:ascii="Cambria" w:hAnsi="Cambria" w:cs="Calibri"/>
                <w:sz w:val="20"/>
                <w:szCs w:val="20"/>
              </w:rPr>
              <w:t xml:space="preserve">Ochroną ubezpieczeniową objęty jest szacowany  zysk brutto (stanowiący sumę wszystkich kosztów stałych działalności oraz zysku netto ze sprzedaży) </w:t>
            </w:r>
            <w:r w:rsidRPr="00D560ED">
              <w:rPr>
                <w:rFonts w:ascii="Cambria" w:hAnsi="Cambria" w:cs="Calibri"/>
                <w:sz w:val="20"/>
                <w:szCs w:val="20"/>
              </w:rPr>
              <w:br/>
              <w:t xml:space="preserve">w maksymalnym okresie odszkodowawczym, jaki Zamawiający osiągnąłby w toku działalności, gdyby prowadzona przez niego działalność gospodarcza w miejscu ubezpieczenia nie została przerwana lub zakłócona na skutek szkody w mieniu, objętym ochroną Elementem I </w:t>
            </w:r>
            <w:proofErr w:type="spellStart"/>
            <w:r w:rsidRPr="00D560ED">
              <w:rPr>
                <w:rFonts w:ascii="Cambria" w:hAnsi="Cambria" w:cs="Calibri"/>
                <w:sz w:val="20"/>
                <w:szCs w:val="20"/>
              </w:rPr>
              <w:t>i</w:t>
            </w:r>
            <w:proofErr w:type="spellEnd"/>
            <w:r w:rsidRPr="00D560ED">
              <w:rPr>
                <w:rFonts w:ascii="Cambria" w:hAnsi="Cambria" w:cs="Calibri"/>
                <w:sz w:val="20"/>
                <w:szCs w:val="20"/>
              </w:rPr>
              <w:t xml:space="preserve"> w zakresie wynikającym z Elementu I, w tym wynikającym z zakresu objętego klauzulami dodatkowymi.</w:t>
            </w:r>
          </w:p>
          <w:p w14:paraId="78A0D3B7" w14:textId="77777777" w:rsidR="00861C25" w:rsidRPr="00D560ED" w:rsidRDefault="00861C25" w:rsidP="003775CB">
            <w:pPr>
              <w:adjustRightInd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560ED">
              <w:rPr>
                <w:rFonts w:ascii="Cambria" w:hAnsi="Cambria" w:cs="Calibri"/>
                <w:sz w:val="20"/>
                <w:szCs w:val="20"/>
              </w:rPr>
              <w:lastRenderedPageBreak/>
              <w:t>Ochroną ubezpieczeniową objęte jest nieosiągnięcie szacowanego zysku brutto i/lub konieczność ponoszenia zwiększonych kosztów działalności, powstałych wskutek zaistnienia w miejscu i okresie ubezpieczenia przerwy lub zakłócenia działalności gospodarczej prowadzonej przez Ubezpieczającego.</w:t>
            </w:r>
          </w:p>
          <w:p w14:paraId="4CE702F9" w14:textId="77777777" w:rsidR="00861C25" w:rsidRPr="00D560ED" w:rsidRDefault="00861C25" w:rsidP="003775CB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560ED">
              <w:rPr>
                <w:rFonts w:ascii="Cambria" w:hAnsi="Cambria" w:cs="Calibri"/>
                <w:sz w:val="20"/>
                <w:szCs w:val="20"/>
              </w:rPr>
              <w:t>Odszkodowanie obejmuje wartość utraconego zysku brutto wynikająca ze spadku wartości obrotu i wzrostu kosztów działalności gospodarczej, a wypłaconą sumę odszkodowania stanowić będzie:</w:t>
            </w:r>
          </w:p>
          <w:p w14:paraId="5569EF16" w14:textId="77777777" w:rsidR="00861C25" w:rsidRPr="00D560ED" w:rsidRDefault="00861C25" w:rsidP="003775CB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560ED">
              <w:rPr>
                <w:rFonts w:ascii="Cambria" w:hAnsi="Cambria" w:cs="Calibri"/>
                <w:sz w:val="20"/>
                <w:szCs w:val="20"/>
              </w:rPr>
              <w:t xml:space="preserve">1)w odniesieniu do spadku obrotu- kwota uzyskana z pomnożenia </w:t>
            </w:r>
            <w:r w:rsidRPr="00D560ED">
              <w:rPr>
                <w:rFonts w:ascii="Cambria" w:hAnsi="Cambria" w:cs="Calibri"/>
                <w:bCs/>
                <w:sz w:val="20"/>
                <w:szCs w:val="20"/>
              </w:rPr>
              <w:t>wskaźnika</w:t>
            </w:r>
            <w:r w:rsidRPr="00D560ED">
              <w:rPr>
                <w:rFonts w:ascii="Cambria" w:hAnsi="Cambria" w:cs="Calibri"/>
                <w:sz w:val="20"/>
                <w:szCs w:val="20"/>
              </w:rPr>
              <w:t xml:space="preserve"> Zysku Brutto przez wielkość, o jaką obrót uzyskany w okresie odszkodowawczym zmniejszył się na skutek szkody w mieniu, w stosunku do obrotu uzyskanego w analogicznym okresie równym okresowi odszkodowawczemu z okresu 12 miesięcy bezpośrednio poprzedzających szkodę w mieniu ,</w:t>
            </w:r>
          </w:p>
          <w:p w14:paraId="5C05F6A8" w14:textId="77777777" w:rsidR="00861C25" w:rsidRPr="00D560ED" w:rsidRDefault="00861C25" w:rsidP="003775CB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560ED">
              <w:rPr>
                <w:rFonts w:ascii="Cambria" w:hAnsi="Cambria" w:cs="Calibri"/>
                <w:sz w:val="20"/>
                <w:szCs w:val="20"/>
              </w:rPr>
              <w:t xml:space="preserve">2)w odniesieniu do wzrostu kosztów działalności gospodarczej- kwota dodatkowych, uzasadnionych wydatków poniesionych w celu uniknięcia lub zminimalizowania spadku obrotu, który gdyby nie te wydatki, nastąpiłby w okresie odszkodowawczym.  Kwota ta nie może przekroczyć sumy wyliczonej poprzez pomnożenie wskaźnika Zysku Brutto przez wartość unikniętego w ten sposób spadku obrotu, pomniejszona o wszelkie zaoszczędzone w okresie odszkodowawczym wydatki obciążające Zysk Brutto, których Ubezpieczający nie musiał ponosić lub poniósł w ograniczonym zakresie w związku z powstałą szkodą.  </w:t>
            </w:r>
          </w:p>
        </w:tc>
      </w:tr>
    </w:tbl>
    <w:p w14:paraId="512B2E48" w14:textId="77777777" w:rsidR="00861C25" w:rsidRDefault="00861C25" w:rsidP="00861C25">
      <w:pPr>
        <w:pStyle w:val="Bezodstpw"/>
        <w:jc w:val="both"/>
        <w:rPr>
          <w:rFonts w:ascii="Cambria" w:hAnsi="Cambria" w:cs="Calibri"/>
          <w:sz w:val="20"/>
          <w:szCs w:val="20"/>
        </w:rPr>
      </w:pPr>
    </w:p>
    <w:p w14:paraId="009B69E2" w14:textId="77777777" w:rsidR="00861C25" w:rsidRPr="0089755C" w:rsidRDefault="00861C25" w:rsidP="00861C25">
      <w:pPr>
        <w:pStyle w:val="Bezodstpw"/>
        <w:jc w:val="both"/>
        <w:rPr>
          <w:rFonts w:asciiTheme="majorHAnsi" w:hAnsiTheme="majorHAnsi" w:cs="Calibri"/>
          <w:bCs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Jednocześnie Zamawiający potwierdza, że </w:t>
      </w:r>
      <w:r w:rsidRPr="00E111CF">
        <w:rPr>
          <w:rFonts w:ascii="Cambria" w:hAnsi="Cambria" w:cs="Calibri"/>
          <w:bCs/>
          <w:sz w:val="20"/>
          <w:szCs w:val="20"/>
        </w:rPr>
        <w:t>łączny limit odpowiedzialności dla szkód w mieniu oraz utraty zysku wraz z wszelkimi kosztami dodatkowymi, wynikającymi z klauzul dodatkowych powstałe wskutek pożaru, wybuchu, dymu, sadzy wynosi 160 000 000 zł na jedno zdarzenie w 12-miesięcznym okresie ubezpieczenia</w:t>
      </w:r>
      <w:r w:rsidRPr="0089755C">
        <w:rPr>
          <w:rFonts w:ascii="Cambria" w:hAnsi="Cambria" w:cs="Calibri"/>
          <w:b/>
          <w:sz w:val="20"/>
          <w:szCs w:val="20"/>
        </w:rPr>
        <w:t xml:space="preserve">. </w:t>
      </w:r>
      <w:r w:rsidRPr="0089755C">
        <w:rPr>
          <w:rFonts w:asciiTheme="majorHAnsi" w:hAnsiTheme="majorHAnsi" w:cs="Arial"/>
          <w:bCs/>
          <w:sz w:val="20"/>
          <w:szCs w:val="20"/>
        </w:rPr>
        <w:t xml:space="preserve">Ochrona  w ramach klauzul może być udzielana tylko i wyłącznie w ramach limitu, który będzie limitem wspólnym na </w:t>
      </w:r>
      <w:r>
        <w:rPr>
          <w:rFonts w:asciiTheme="majorHAnsi" w:hAnsiTheme="majorHAnsi" w:cs="Arial"/>
          <w:bCs/>
          <w:sz w:val="20"/>
          <w:szCs w:val="20"/>
        </w:rPr>
        <w:t>u</w:t>
      </w:r>
      <w:r w:rsidRPr="0089755C">
        <w:rPr>
          <w:rFonts w:asciiTheme="majorHAnsi" w:hAnsiTheme="majorHAnsi" w:cs="Arial"/>
          <w:bCs/>
          <w:sz w:val="20"/>
          <w:szCs w:val="20"/>
        </w:rPr>
        <w:t xml:space="preserve">bezpieczenie mienia od wszystkich </w:t>
      </w:r>
      <w:proofErr w:type="spellStart"/>
      <w:r w:rsidRPr="0089755C">
        <w:rPr>
          <w:rFonts w:asciiTheme="majorHAnsi" w:hAnsiTheme="majorHAnsi" w:cs="Arial"/>
          <w:bCs/>
          <w:sz w:val="20"/>
          <w:szCs w:val="20"/>
        </w:rPr>
        <w:t>ryzyk</w:t>
      </w:r>
      <w:proofErr w:type="spellEnd"/>
      <w:r w:rsidRPr="0089755C">
        <w:rPr>
          <w:rFonts w:asciiTheme="majorHAnsi" w:hAnsiTheme="majorHAnsi" w:cs="Arial"/>
          <w:bCs/>
          <w:sz w:val="20"/>
          <w:szCs w:val="20"/>
        </w:rPr>
        <w:t xml:space="preserve"> oraz </w:t>
      </w:r>
      <w:r>
        <w:rPr>
          <w:rFonts w:asciiTheme="majorHAnsi" w:hAnsiTheme="majorHAnsi" w:cs="Arial"/>
          <w:bCs/>
          <w:sz w:val="20"/>
          <w:szCs w:val="20"/>
        </w:rPr>
        <w:t>u</w:t>
      </w:r>
      <w:r w:rsidRPr="0089755C">
        <w:rPr>
          <w:rFonts w:asciiTheme="majorHAnsi" w:hAnsiTheme="majorHAnsi" w:cs="Arial"/>
          <w:bCs/>
          <w:sz w:val="20"/>
          <w:szCs w:val="20"/>
        </w:rPr>
        <w:t>bezpieczenie Utraty zysku</w:t>
      </w:r>
      <w:r>
        <w:rPr>
          <w:rFonts w:asciiTheme="majorHAnsi" w:hAnsiTheme="majorHAnsi" w:cs="Arial"/>
          <w:bCs/>
          <w:sz w:val="20"/>
          <w:szCs w:val="20"/>
        </w:rPr>
        <w:t xml:space="preserve">. </w:t>
      </w:r>
    </w:p>
    <w:p w14:paraId="42AD0BD6" w14:textId="2FF4FCC7" w:rsidR="00FD3F21" w:rsidRPr="00E111CF" w:rsidRDefault="00FD3F21" w:rsidP="00861C25">
      <w:pPr>
        <w:pStyle w:val="Bezodstpw"/>
        <w:rPr>
          <w:rFonts w:ascii="Cambria" w:hAnsi="Cambria" w:cs="Calibri"/>
          <w:bCs/>
          <w:sz w:val="20"/>
          <w:szCs w:val="20"/>
        </w:rPr>
      </w:pPr>
      <w:bookmarkStart w:id="0" w:name="_GoBack"/>
      <w:bookmarkEnd w:id="0"/>
    </w:p>
    <w:sectPr w:rsidR="00FD3F21" w:rsidRPr="00E111CF">
      <w:headerReference w:type="default" r:id="rId7"/>
      <w:footerReference w:type="default" r:id="rId8"/>
      <w:pgSz w:w="11910" w:h="16840"/>
      <w:pgMar w:top="1320" w:right="130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48600" w14:textId="77777777" w:rsidR="00386D91" w:rsidRDefault="00386D91">
      <w:r>
        <w:separator/>
      </w:r>
    </w:p>
  </w:endnote>
  <w:endnote w:type="continuationSeparator" w:id="0">
    <w:p w14:paraId="7B6346AD" w14:textId="77777777" w:rsidR="00386D91" w:rsidRDefault="0038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471611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6F27906B" w14:textId="1518CA64" w:rsidR="00CE7583" w:rsidRPr="004F2109" w:rsidRDefault="00CE7583">
        <w:pPr>
          <w:pStyle w:val="Stopka"/>
          <w:jc w:val="right"/>
          <w:rPr>
            <w:rFonts w:ascii="Calibri" w:hAnsi="Calibri" w:cs="Calibri"/>
            <w:sz w:val="16"/>
            <w:szCs w:val="16"/>
          </w:rPr>
        </w:pPr>
        <w:r w:rsidRPr="004F2109">
          <w:rPr>
            <w:rFonts w:ascii="Calibri" w:hAnsi="Calibri" w:cs="Calibri"/>
            <w:sz w:val="16"/>
            <w:szCs w:val="16"/>
          </w:rPr>
          <w:fldChar w:fldCharType="begin"/>
        </w:r>
        <w:r w:rsidRPr="004F2109">
          <w:rPr>
            <w:rFonts w:ascii="Calibri" w:hAnsi="Calibri" w:cs="Calibri"/>
            <w:sz w:val="16"/>
            <w:szCs w:val="16"/>
          </w:rPr>
          <w:instrText>PAGE   \* MERGEFORMAT</w:instrText>
        </w:r>
        <w:r w:rsidRPr="004F2109">
          <w:rPr>
            <w:rFonts w:ascii="Calibri" w:hAnsi="Calibri" w:cs="Calibri"/>
            <w:sz w:val="16"/>
            <w:szCs w:val="16"/>
          </w:rPr>
          <w:fldChar w:fldCharType="separate"/>
        </w:r>
        <w:r w:rsidR="00861C25">
          <w:rPr>
            <w:rFonts w:ascii="Calibri" w:hAnsi="Calibri" w:cs="Calibri"/>
            <w:noProof/>
            <w:sz w:val="16"/>
            <w:szCs w:val="16"/>
          </w:rPr>
          <w:t>1</w:t>
        </w:r>
        <w:r w:rsidRPr="004F2109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  <w:p w14:paraId="2D152A57" w14:textId="77777777" w:rsidR="00CE7583" w:rsidRDefault="00CE7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54C97" w14:textId="77777777" w:rsidR="00386D91" w:rsidRDefault="00386D91">
      <w:r>
        <w:separator/>
      </w:r>
    </w:p>
  </w:footnote>
  <w:footnote w:type="continuationSeparator" w:id="0">
    <w:p w14:paraId="3629F6A6" w14:textId="77777777" w:rsidR="00386D91" w:rsidRDefault="0038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E5CE" w14:textId="77777777" w:rsidR="00CE7583" w:rsidRDefault="00CE7583" w:rsidP="00D560ED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41EFFEF" wp14:editId="744D5621">
              <wp:simplePos x="0" y="0"/>
              <wp:positionH relativeFrom="column">
                <wp:posOffset>760095</wp:posOffset>
              </wp:positionH>
              <wp:positionV relativeFrom="paragraph">
                <wp:posOffset>73660</wp:posOffset>
              </wp:positionV>
              <wp:extent cx="5422900" cy="762000"/>
              <wp:effectExtent l="0" t="0" r="635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E8FA0" w14:textId="77777777" w:rsidR="00CE7583" w:rsidRPr="00A34E50" w:rsidRDefault="00CE7583" w:rsidP="00D560ED">
                          <w:pPr>
                            <w:ind w:firstLine="142"/>
                            <w:rPr>
                              <w:rFonts w:ascii="Book Antiqua" w:hAnsi="Book Antiqua"/>
                              <w:b/>
                            </w:rPr>
                          </w:pPr>
                          <w:r w:rsidRPr="00A34E50">
                            <w:rPr>
                              <w:rFonts w:ascii="Book Antiqua" w:hAnsi="Book Antiqua"/>
                              <w:b/>
                            </w:rPr>
                            <w:t>Przedsiębiorstwo Gospodarki Odpadami Sp. z o.o.</w:t>
                          </w:r>
                          <w:r>
                            <w:rPr>
                              <w:rFonts w:ascii="Book Antiqua" w:hAnsi="Book Antiqua"/>
                              <w:b/>
                            </w:rPr>
                            <w:t xml:space="preserve"> w Promniku</w:t>
                          </w:r>
                        </w:p>
                        <w:p w14:paraId="66F8B32E" w14:textId="77777777" w:rsidR="00CE7583" w:rsidRPr="001E63FC" w:rsidRDefault="00CE7583" w:rsidP="00D560ED">
                          <w:pPr>
                            <w:ind w:firstLine="142"/>
                            <w:rPr>
                              <w:rFonts w:ascii="Book Antiqua" w:hAnsi="Book Antiqua"/>
                              <w:sz w:val="18"/>
                            </w:rPr>
                          </w:pPr>
                          <w:r w:rsidRPr="001E63FC">
                            <w:rPr>
                              <w:rFonts w:ascii="Book Antiqua" w:hAnsi="Book Antiqua"/>
                              <w:sz w:val="18"/>
                            </w:rPr>
                            <w:t xml:space="preserve">ul. Św. Tekli 62, Promnik, 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 xml:space="preserve">26-067 </w:t>
                          </w:r>
                          <w:r w:rsidRPr="001E63FC">
                            <w:rPr>
                              <w:rFonts w:ascii="Book Antiqua" w:hAnsi="Book Antiqua"/>
                              <w:sz w:val="18"/>
                            </w:rPr>
                            <w:t>Strawczyn</w:t>
                          </w:r>
                        </w:p>
                        <w:p w14:paraId="6DFEE58B" w14:textId="77777777" w:rsidR="00CE7583" w:rsidRPr="001E63FC" w:rsidRDefault="00CE7583" w:rsidP="00D560ED">
                          <w:pPr>
                            <w:ind w:firstLine="142"/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</w:pPr>
                          <w:r w:rsidRPr="00D74D67">
                            <w:rPr>
                              <w:rFonts w:ascii="Cambria" w:hAnsi="Cambria" w:cs="Calibri"/>
                              <w:sz w:val="18"/>
                              <w:szCs w:val="16"/>
                            </w:rPr>
                            <w:sym w:font="Wingdings" w:char="F028"/>
                          </w:r>
                          <w:r>
                            <w:rPr>
                              <w:rFonts w:ascii="Cambria" w:hAnsi="Cambria" w:cs="Calibri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1E63FC"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>41 346-12-43/44</w:t>
                          </w:r>
                          <w:r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 xml:space="preserve"> , </w:t>
                          </w:r>
                          <w:r w:rsidRPr="001E63FC">
                            <w:rPr>
                              <w:rFonts w:ascii="Book Antiqua" w:hAnsi="Book Antiqua" w:cs="Calibri"/>
                              <w:b/>
                              <w:sz w:val="18"/>
                              <w:szCs w:val="16"/>
                            </w:rPr>
                            <w:t>fax</w:t>
                          </w:r>
                          <w:r w:rsidRPr="001E63FC"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>:+41 346-03-73</w:t>
                          </w:r>
                          <w:r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 xml:space="preserve">, </w:t>
                          </w:r>
                          <w:r w:rsidRPr="001E63FC"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>biuro@pgo.kielce.pl</w:t>
                          </w:r>
                        </w:p>
                        <w:p w14:paraId="66B8ECAC" w14:textId="77777777" w:rsidR="00CE7583" w:rsidRPr="00917FC9" w:rsidRDefault="00CE7583" w:rsidP="00D560ED">
                          <w:pPr>
                            <w:rPr>
                              <w:rFonts w:ascii="Book Antiqua" w:hAnsi="Book Antiqu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41EFFE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9.85pt;margin-top:5.8pt;width:427pt;height:6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" stroked="f">
              <v:textbox>
                <w:txbxContent>
                  <w:p w14:paraId="1D9E8FA0" w14:textId="77777777" w:rsidR="00CE7583" w:rsidRPr="00A34E50" w:rsidRDefault="00CE7583" w:rsidP="00D560ED">
                    <w:pPr>
                      <w:ind w:firstLine="142"/>
                      <w:rPr>
                        <w:rFonts w:ascii="Book Antiqua" w:hAnsi="Book Antiqua"/>
                        <w:b/>
                      </w:rPr>
                    </w:pPr>
                    <w:r w:rsidRPr="00A34E50">
                      <w:rPr>
                        <w:rFonts w:ascii="Book Antiqua" w:hAnsi="Book Antiqua"/>
                        <w:b/>
                      </w:rPr>
                      <w:t>Przedsiębiorstwo Gospodarki Odpadami Sp. z o.o.</w:t>
                    </w:r>
                    <w:r>
                      <w:rPr>
                        <w:rFonts w:ascii="Book Antiqua" w:hAnsi="Book Antiqua"/>
                        <w:b/>
                      </w:rPr>
                      <w:t xml:space="preserve"> w Promniku</w:t>
                    </w:r>
                  </w:p>
                  <w:p w14:paraId="66F8B32E" w14:textId="77777777" w:rsidR="00CE7583" w:rsidRPr="001E63FC" w:rsidRDefault="00CE7583" w:rsidP="00D560ED">
                    <w:pPr>
                      <w:ind w:firstLine="142"/>
                      <w:rPr>
                        <w:rFonts w:ascii="Book Antiqua" w:hAnsi="Book Antiqua"/>
                        <w:sz w:val="18"/>
                      </w:rPr>
                    </w:pPr>
                    <w:r w:rsidRPr="001E63FC">
                      <w:rPr>
                        <w:rFonts w:ascii="Book Antiqua" w:hAnsi="Book Antiqua"/>
                        <w:sz w:val="18"/>
                      </w:rPr>
                      <w:t xml:space="preserve">ul. Św. Tekli 62, Promnik, </w:t>
                    </w:r>
                    <w:r>
                      <w:rPr>
                        <w:rFonts w:ascii="Book Antiqua" w:hAnsi="Book Antiqua"/>
                        <w:sz w:val="18"/>
                      </w:rPr>
                      <w:t xml:space="preserve">26-067 </w:t>
                    </w:r>
                    <w:r w:rsidRPr="001E63FC">
                      <w:rPr>
                        <w:rFonts w:ascii="Book Antiqua" w:hAnsi="Book Antiqua"/>
                        <w:sz w:val="18"/>
                      </w:rPr>
                      <w:t>Strawczyn</w:t>
                    </w:r>
                  </w:p>
                  <w:p w14:paraId="6DFEE58B" w14:textId="77777777" w:rsidR="00CE7583" w:rsidRPr="001E63FC" w:rsidRDefault="00CE7583" w:rsidP="00D560ED">
                    <w:pPr>
                      <w:ind w:firstLine="142"/>
                      <w:rPr>
                        <w:rFonts w:ascii="Book Antiqua" w:hAnsi="Book Antiqua" w:cs="Calibri"/>
                        <w:sz w:val="18"/>
                        <w:szCs w:val="16"/>
                      </w:rPr>
                    </w:pPr>
                    <w:r w:rsidRPr="00D74D67">
                      <w:rPr>
                        <w:rFonts w:ascii="Cambria" w:hAnsi="Cambria" w:cs="Calibri"/>
                        <w:sz w:val="18"/>
                        <w:szCs w:val="16"/>
                      </w:rPr>
                      <w:sym w:font="Wingdings" w:char="F028"/>
                    </w:r>
                    <w:r>
                      <w:rPr>
                        <w:rFonts w:ascii="Cambria" w:hAnsi="Cambria" w:cs="Calibri"/>
                        <w:sz w:val="18"/>
                        <w:szCs w:val="16"/>
                      </w:rPr>
                      <w:t xml:space="preserve"> </w:t>
                    </w:r>
                    <w:r w:rsidRPr="001E63FC">
                      <w:rPr>
                        <w:rFonts w:ascii="Book Antiqua" w:hAnsi="Book Antiqua" w:cs="Calibri"/>
                        <w:sz w:val="18"/>
                        <w:szCs w:val="16"/>
                      </w:rPr>
                      <w:t>41 346-12-43/44</w:t>
                    </w:r>
                    <w:r>
                      <w:rPr>
                        <w:rFonts w:ascii="Book Antiqua" w:hAnsi="Book Antiqua" w:cs="Calibri"/>
                        <w:sz w:val="18"/>
                        <w:szCs w:val="16"/>
                      </w:rPr>
                      <w:t xml:space="preserve"> , </w:t>
                    </w:r>
                    <w:r w:rsidRPr="001E63FC">
                      <w:rPr>
                        <w:rFonts w:ascii="Book Antiqua" w:hAnsi="Book Antiqua" w:cs="Calibri"/>
                        <w:b/>
                        <w:sz w:val="18"/>
                        <w:szCs w:val="16"/>
                      </w:rPr>
                      <w:t>fax</w:t>
                    </w:r>
                    <w:r w:rsidRPr="001E63FC">
                      <w:rPr>
                        <w:rFonts w:ascii="Book Antiqua" w:hAnsi="Book Antiqua" w:cs="Calibri"/>
                        <w:sz w:val="18"/>
                        <w:szCs w:val="16"/>
                      </w:rPr>
                      <w:t>:+41 346-03-73</w:t>
                    </w:r>
                    <w:r>
                      <w:rPr>
                        <w:rFonts w:ascii="Book Antiqua" w:hAnsi="Book Antiqua" w:cs="Calibri"/>
                        <w:sz w:val="18"/>
                        <w:szCs w:val="16"/>
                      </w:rPr>
                      <w:t xml:space="preserve">, </w:t>
                    </w:r>
                    <w:r w:rsidRPr="001E63FC">
                      <w:rPr>
                        <w:rFonts w:ascii="Book Antiqua" w:hAnsi="Book Antiqua" w:cs="Calibri"/>
                        <w:sz w:val="18"/>
                        <w:szCs w:val="16"/>
                      </w:rPr>
                      <w:t>biuro@pgo.kielce.pl</w:t>
                    </w:r>
                  </w:p>
                  <w:p w14:paraId="66B8ECAC" w14:textId="77777777" w:rsidR="00CE7583" w:rsidRPr="00917FC9" w:rsidRDefault="00CE7583" w:rsidP="00D560ED">
                    <w:pPr>
                      <w:rPr>
                        <w:rFonts w:ascii="Book Antiqua" w:hAnsi="Book Antiqua"/>
                        <w:sz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2D6774">
      <w:rPr>
        <w:smallCaps/>
        <w:noProof/>
        <w:lang w:eastAsia="pl-PL"/>
      </w:rPr>
      <w:drawing>
        <wp:inline distT="0" distB="0" distL="0" distR="0" wp14:anchorId="55EE15D1" wp14:editId="29C7C712">
          <wp:extent cx="590550" cy="800100"/>
          <wp:effectExtent l="0" t="0" r="0" b="0"/>
          <wp:docPr id="3" name="Obraz 3" descr="Logotyp_z_herbem_2.JPG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z_herbem_2.JPG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CF644" w14:textId="77777777" w:rsidR="00CE7583" w:rsidRDefault="00CE7583" w:rsidP="00D560ED">
    <w:pPr>
      <w:pStyle w:val="Tytu"/>
      <w:tabs>
        <w:tab w:val="left" w:pos="708"/>
        <w:tab w:val="left" w:pos="5175"/>
      </w:tabs>
      <w:spacing w:before="120"/>
      <w:jc w:val="left"/>
      <w:rPr>
        <w:rFonts w:ascii="Calibri" w:hAnsi="Calibri" w:cs="Calibri"/>
        <w:i/>
        <w:sz w:val="20"/>
        <w:szCs w:val="16"/>
      </w:rPr>
    </w:pPr>
  </w:p>
  <w:p w14:paraId="24004DDF" w14:textId="77777777" w:rsidR="00CE7583" w:rsidRPr="00384B68" w:rsidRDefault="00CE7583" w:rsidP="00D560ED">
    <w:pPr>
      <w:pStyle w:val="Tytu"/>
      <w:tabs>
        <w:tab w:val="left" w:pos="708"/>
        <w:tab w:val="left" w:pos="5175"/>
      </w:tabs>
      <w:spacing w:before="120"/>
      <w:jc w:val="left"/>
      <w:rPr>
        <w:rFonts w:ascii="Calibri" w:hAnsi="Calibri" w:cs="Calibri"/>
        <w:sz w:val="20"/>
        <w:szCs w:val="16"/>
      </w:rPr>
    </w:pPr>
    <w:r w:rsidRPr="00345561">
      <w:rPr>
        <w:rFonts w:ascii="Calibri" w:hAnsi="Calibri" w:cs="Calibri"/>
        <w:i/>
        <w:sz w:val="20"/>
        <w:szCs w:val="16"/>
      </w:rPr>
      <w:t>numer postępowania:</w:t>
    </w:r>
    <w:r>
      <w:rPr>
        <w:rFonts w:ascii="Calibri" w:hAnsi="Calibri" w:cs="Calibri"/>
        <w:sz w:val="20"/>
        <w:szCs w:val="16"/>
      </w:rPr>
      <w:t xml:space="preserve"> </w:t>
    </w:r>
    <w:r w:rsidRPr="007D1746">
      <w:rPr>
        <w:rFonts w:ascii="Calibri" w:hAnsi="Calibri" w:cs="Calibri"/>
        <w:sz w:val="20"/>
        <w:szCs w:val="16"/>
      </w:rPr>
      <w:t>PGO/02/10/2021</w:t>
    </w:r>
  </w:p>
  <w:p w14:paraId="3AB81C35" w14:textId="77777777" w:rsidR="00CE7583" w:rsidRPr="00582B8B" w:rsidRDefault="00CE7583" w:rsidP="00D560ED">
    <w:pPr>
      <w:pStyle w:val="Nagwek"/>
    </w:pPr>
  </w:p>
  <w:p w14:paraId="359935D9" w14:textId="1B0C0016" w:rsidR="00CE7583" w:rsidRDefault="00CE7583">
    <w:pPr>
      <w:pStyle w:val="Tekstpodstawowy"/>
      <w:spacing w:line="14" w:lineRule="auto"/>
      <w:jc w:val="lef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22BBEE" wp14:editId="7131B57A">
              <wp:simplePos x="0" y="0"/>
              <wp:positionH relativeFrom="page">
                <wp:posOffset>886460</wp:posOffset>
              </wp:positionH>
              <wp:positionV relativeFrom="page">
                <wp:posOffset>435610</wp:posOffset>
              </wp:positionV>
              <wp:extent cx="608330" cy="1847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05807" w14:textId="49715BAE" w:rsidR="00CE7583" w:rsidRDefault="00CE7583">
                          <w:pPr>
                            <w:pStyle w:val="Tekstpodstawowy"/>
                            <w:spacing w:before="16"/>
                            <w:ind w:left="2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022BBEE" id="Text Box 1" o:spid="_x0000_s1027" type="#_x0000_t202" style="position:absolute;margin-left:69.8pt;margin-top:34.3pt;width:47.9pt;height:1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" filled="f" stroked="f">
              <v:textbox inset="0,0,0,0">
                <w:txbxContent>
                  <w:p w14:paraId="3F905807" w14:textId="49715BAE" w:rsidR="00CE7583" w:rsidRDefault="00CE7583">
                    <w:pPr>
                      <w:pStyle w:val="Tekstpodstawowy"/>
                      <w:spacing w:before="16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11D"/>
    <w:multiLevelType w:val="hybridMultilevel"/>
    <w:tmpl w:val="C92E6B7E"/>
    <w:lvl w:ilvl="0" w:tplc="3336246A">
      <w:start w:val="1"/>
      <w:numFmt w:val="decimal"/>
      <w:lvlText w:val="%1."/>
      <w:lvlJc w:val="left"/>
      <w:pPr>
        <w:ind w:left="223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7FB4A80E">
      <w:numFmt w:val="bullet"/>
      <w:lvlText w:val="•"/>
      <w:lvlJc w:val="left"/>
      <w:pPr>
        <w:ind w:left="848" w:hanging="221"/>
      </w:pPr>
      <w:rPr>
        <w:rFonts w:hint="default"/>
        <w:lang w:val="pl-PL" w:eastAsia="en-US" w:bidi="ar-SA"/>
      </w:rPr>
    </w:lvl>
    <w:lvl w:ilvl="2" w:tplc="9A74D6DE">
      <w:numFmt w:val="bullet"/>
      <w:lvlText w:val="•"/>
      <w:lvlJc w:val="left"/>
      <w:pPr>
        <w:ind w:left="1477" w:hanging="221"/>
      </w:pPr>
      <w:rPr>
        <w:rFonts w:hint="default"/>
        <w:lang w:val="pl-PL" w:eastAsia="en-US" w:bidi="ar-SA"/>
      </w:rPr>
    </w:lvl>
    <w:lvl w:ilvl="3" w:tplc="BABC37A8">
      <w:numFmt w:val="bullet"/>
      <w:lvlText w:val="•"/>
      <w:lvlJc w:val="left"/>
      <w:pPr>
        <w:ind w:left="2106" w:hanging="221"/>
      </w:pPr>
      <w:rPr>
        <w:rFonts w:hint="default"/>
        <w:lang w:val="pl-PL" w:eastAsia="en-US" w:bidi="ar-SA"/>
      </w:rPr>
    </w:lvl>
    <w:lvl w:ilvl="4" w:tplc="7A1C24E4">
      <w:numFmt w:val="bullet"/>
      <w:lvlText w:val="•"/>
      <w:lvlJc w:val="left"/>
      <w:pPr>
        <w:ind w:left="2735" w:hanging="221"/>
      </w:pPr>
      <w:rPr>
        <w:rFonts w:hint="default"/>
        <w:lang w:val="pl-PL" w:eastAsia="en-US" w:bidi="ar-SA"/>
      </w:rPr>
    </w:lvl>
    <w:lvl w:ilvl="5" w:tplc="9F2271C2">
      <w:numFmt w:val="bullet"/>
      <w:lvlText w:val="•"/>
      <w:lvlJc w:val="left"/>
      <w:pPr>
        <w:ind w:left="3364" w:hanging="221"/>
      </w:pPr>
      <w:rPr>
        <w:rFonts w:hint="default"/>
        <w:lang w:val="pl-PL" w:eastAsia="en-US" w:bidi="ar-SA"/>
      </w:rPr>
    </w:lvl>
    <w:lvl w:ilvl="6" w:tplc="7B866654">
      <w:numFmt w:val="bullet"/>
      <w:lvlText w:val="•"/>
      <w:lvlJc w:val="left"/>
      <w:pPr>
        <w:ind w:left="3993" w:hanging="221"/>
      </w:pPr>
      <w:rPr>
        <w:rFonts w:hint="default"/>
        <w:lang w:val="pl-PL" w:eastAsia="en-US" w:bidi="ar-SA"/>
      </w:rPr>
    </w:lvl>
    <w:lvl w:ilvl="7" w:tplc="0B78468E">
      <w:numFmt w:val="bullet"/>
      <w:lvlText w:val="•"/>
      <w:lvlJc w:val="left"/>
      <w:pPr>
        <w:ind w:left="4622" w:hanging="221"/>
      </w:pPr>
      <w:rPr>
        <w:rFonts w:hint="default"/>
        <w:lang w:val="pl-PL" w:eastAsia="en-US" w:bidi="ar-SA"/>
      </w:rPr>
    </w:lvl>
    <w:lvl w:ilvl="8" w:tplc="2CB2F6F8">
      <w:numFmt w:val="bullet"/>
      <w:lvlText w:val="•"/>
      <w:lvlJc w:val="left"/>
      <w:pPr>
        <w:ind w:left="5251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04AB3722"/>
    <w:multiLevelType w:val="hybridMultilevel"/>
    <w:tmpl w:val="DEDC3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04D31"/>
    <w:multiLevelType w:val="hybridMultilevel"/>
    <w:tmpl w:val="2956159E"/>
    <w:lvl w:ilvl="0" w:tplc="C10A3376">
      <w:start w:val="1"/>
      <w:numFmt w:val="upperRoman"/>
      <w:lvlText w:val="%1."/>
      <w:lvlJc w:val="left"/>
      <w:pPr>
        <w:ind w:left="1082" w:hanging="72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BE5ED584">
      <w:numFmt w:val="bullet"/>
      <w:lvlText w:val="–"/>
      <w:lvlJc w:val="left"/>
      <w:pPr>
        <w:ind w:left="144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E2686AF4">
      <w:numFmt w:val="bullet"/>
      <w:lvlText w:val="•"/>
      <w:lvlJc w:val="left"/>
      <w:pPr>
        <w:ind w:left="2003" w:hanging="360"/>
      </w:pPr>
      <w:rPr>
        <w:rFonts w:hint="default"/>
        <w:lang w:val="pl-PL" w:eastAsia="en-US" w:bidi="ar-SA"/>
      </w:rPr>
    </w:lvl>
    <w:lvl w:ilvl="3" w:tplc="AF28356A">
      <w:numFmt w:val="bullet"/>
      <w:lvlText w:val="•"/>
      <w:lvlJc w:val="left"/>
      <w:pPr>
        <w:ind w:left="2566" w:hanging="360"/>
      </w:pPr>
      <w:rPr>
        <w:rFonts w:hint="default"/>
        <w:lang w:val="pl-PL" w:eastAsia="en-US" w:bidi="ar-SA"/>
      </w:rPr>
    </w:lvl>
    <w:lvl w:ilvl="4" w:tplc="8562888C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5" w:tplc="FA60F2B8">
      <w:numFmt w:val="bullet"/>
      <w:lvlText w:val="•"/>
      <w:lvlJc w:val="left"/>
      <w:pPr>
        <w:ind w:left="3692" w:hanging="360"/>
      </w:pPr>
      <w:rPr>
        <w:rFonts w:hint="default"/>
        <w:lang w:val="pl-PL" w:eastAsia="en-US" w:bidi="ar-SA"/>
      </w:rPr>
    </w:lvl>
    <w:lvl w:ilvl="6" w:tplc="092636EE">
      <w:numFmt w:val="bullet"/>
      <w:lvlText w:val="•"/>
      <w:lvlJc w:val="left"/>
      <w:pPr>
        <w:ind w:left="4256" w:hanging="360"/>
      </w:pPr>
      <w:rPr>
        <w:rFonts w:hint="default"/>
        <w:lang w:val="pl-PL" w:eastAsia="en-US" w:bidi="ar-SA"/>
      </w:rPr>
    </w:lvl>
    <w:lvl w:ilvl="7" w:tplc="92262928">
      <w:numFmt w:val="bullet"/>
      <w:lvlText w:val="•"/>
      <w:lvlJc w:val="left"/>
      <w:pPr>
        <w:ind w:left="4819" w:hanging="360"/>
      </w:pPr>
      <w:rPr>
        <w:rFonts w:hint="default"/>
        <w:lang w:val="pl-PL" w:eastAsia="en-US" w:bidi="ar-SA"/>
      </w:rPr>
    </w:lvl>
    <w:lvl w:ilvl="8" w:tplc="60921FA8">
      <w:numFmt w:val="bullet"/>
      <w:lvlText w:val="•"/>
      <w:lvlJc w:val="left"/>
      <w:pPr>
        <w:ind w:left="538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80C59FB"/>
    <w:multiLevelType w:val="hybridMultilevel"/>
    <w:tmpl w:val="901ADA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714580"/>
    <w:multiLevelType w:val="hybridMultilevel"/>
    <w:tmpl w:val="7F5A484E"/>
    <w:lvl w:ilvl="0" w:tplc="CE24B6AC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D361EA"/>
    <w:multiLevelType w:val="hybridMultilevel"/>
    <w:tmpl w:val="3FF03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01C7"/>
    <w:multiLevelType w:val="hybridMultilevel"/>
    <w:tmpl w:val="2F4CC682"/>
    <w:lvl w:ilvl="0" w:tplc="0415000F">
      <w:start w:val="38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9F63B9"/>
    <w:multiLevelType w:val="hybridMultilevel"/>
    <w:tmpl w:val="09CC3E84"/>
    <w:lvl w:ilvl="0" w:tplc="E1667FC8">
      <w:start w:val="4"/>
      <w:numFmt w:val="decimal"/>
      <w:lvlText w:val="%1."/>
      <w:lvlJc w:val="left"/>
      <w:pPr>
        <w:ind w:left="399" w:hanging="284"/>
        <w:jc w:val="left"/>
      </w:pPr>
      <w:rPr>
        <w:rFonts w:ascii="Tahoma" w:eastAsia="Tahoma" w:hAnsi="Tahoma" w:cs="Tahoma" w:hint="default"/>
        <w:spacing w:val="-1"/>
        <w:w w:val="87"/>
        <w:sz w:val="20"/>
        <w:szCs w:val="20"/>
        <w:lang w:val="pl-PL" w:eastAsia="en-US" w:bidi="ar-SA"/>
      </w:rPr>
    </w:lvl>
    <w:lvl w:ilvl="1" w:tplc="A9F0F526">
      <w:start w:val="1"/>
      <w:numFmt w:val="decimal"/>
      <w:lvlText w:val="%2)"/>
      <w:lvlJc w:val="left"/>
      <w:pPr>
        <w:ind w:left="824" w:hanging="425"/>
        <w:jc w:val="left"/>
      </w:pPr>
      <w:rPr>
        <w:rFonts w:hint="default"/>
        <w:spacing w:val="-1"/>
        <w:w w:val="85"/>
        <w:lang w:val="pl-PL" w:eastAsia="en-US" w:bidi="ar-SA"/>
      </w:rPr>
    </w:lvl>
    <w:lvl w:ilvl="2" w:tplc="3BBE4E6E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321CE5BA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AAAE6D98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C164A590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25E63AF8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9B381DD6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12A80894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36FA5330"/>
    <w:multiLevelType w:val="hybridMultilevel"/>
    <w:tmpl w:val="510822FC"/>
    <w:lvl w:ilvl="0" w:tplc="8332765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FE4514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DD4C95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E2A2AC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A926A5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06CA83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D5A7C5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06C4FD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294D74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80005E6"/>
    <w:multiLevelType w:val="hybridMultilevel"/>
    <w:tmpl w:val="B04A73E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6816EC"/>
    <w:multiLevelType w:val="hybridMultilevel"/>
    <w:tmpl w:val="339C39BE"/>
    <w:lvl w:ilvl="0" w:tplc="7BF4C37E">
      <w:start w:val="1"/>
      <w:numFmt w:val="decimal"/>
      <w:lvlText w:val="%1."/>
      <w:lvlJc w:val="left"/>
      <w:pPr>
        <w:ind w:left="399" w:hanging="284"/>
        <w:jc w:val="left"/>
      </w:pPr>
      <w:rPr>
        <w:rFonts w:ascii="Tahoma" w:eastAsia="Tahoma" w:hAnsi="Tahoma" w:cs="Tahoma" w:hint="default"/>
        <w:spacing w:val="-1"/>
        <w:w w:val="87"/>
        <w:sz w:val="20"/>
        <w:szCs w:val="20"/>
        <w:lang w:val="pl-PL" w:eastAsia="en-US" w:bidi="ar-SA"/>
      </w:rPr>
    </w:lvl>
    <w:lvl w:ilvl="1" w:tplc="4B2A1AFC">
      <w:start w:val="1"/>
      <w:numFmt w:val="decimal"/>
      <w:lvlText w:val="%2)"/>
      <w:lvlJc w:val="left"/>
      <w:pPr>
        <w:ind w:left="836" w:hanging="360"/>
        <w:jc w:val="left"/>
      </w:pPr>
      <w:rPr>
        <w:rFonts w:ascii="Tahoma" w:eastAsia="Tahoma" w:hAnsi="Tahoma" w:cs="Tahoma" w:hint="default"/>
        <w:spacing w:val="-1"/>
        <w:w w:val="85"/>
        <w:sz w:val="20"/>
        <w:szCs w:val="20"/>
        <w:lang w:val="pl-PL" w:eastAsia="en-US" w:bidi="ar-SA"/>
      </w:rPr>
    </w:lvl>
    <w:lvl w:ilvl="2" w:tplc="A672F8FA">
      <w:numFmt w:val="bullet"/>
      <w:lvlText w:val="–"/>
      <w:lvlJc w:val="left"/>
      <w:pPr>
        <w:ind w:left="1119" w:hanging="296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3" w:tplc="4B241FBE">
      <w:numFmt w:val="bullet"/>
      <w:lvlText w:val="•"/>
      <w:lvlJc w:val="left"/>
      <w:pPr>
        <w:ind w:left="2143" w:hanging="296"/>
      </w:pPr>
      <w:rPr>
        <w:rFonts w:hint="default"/>
        <w:lang w:val="pl-PL" w:eastAsia="en-US" w:bidi="ar-SA"/>
      </w:rPr>
    </w:lvl>
    <w:lvl w:ilvl="4" w:tplc="0AF00C14">
      <w:numFmt w:val="bullet"/>
      <w:lvlText w:val="•"/>
      <w:lvlJc w:val="left"/>
      <w:pPr>
        <w:ind w:left="3166" w:hanging="296"/>
      </w:pPr>
      <w:rPr>
        <w:rFonts w:hint="default"/>
        <w:lang w:val="pl-PL" w:eastAsia="en-US" w:bidi="ar-SA"/>
      </w:rPr>
    </w:lvl>
    <w:lvl w:ilvl="5" w:tplc="99BEA08E">
      <w:numFmt w:val="bullet"/>
      <w:lvlText w:val="•"/>
      <w:lvlJc w:val="left"/>
      <w:pPr>
        <w:ind w:left="4189" w:hanging="296"/>
      </w:pPr>
      <w:rPr>
        <w:rFonts w:hint="default"/>
        <w:lang w:val="pl-PL" w:eastAsia="en-US" w:bidi="ar-SA"/>
      </w:rPr>
    </w:lvl>
    <w:lvl w:ilvl="6" w:tplc="CEE60A4E">
      <w:numFmt w:val="bullet"/>
      <w:lvlText w:val="•"/>
      <w:lvlJc w:val="left"/>
      <w:pPr>
        <w:ind w:left="5213" w:hanging="296"/>
      </w:pPr>
      <w:rPr>
        <w:rFonts w:hint="default"/>
        <w:lang w:val="pl-PL" w:eastAsia="en-US" w:bidi="ar-SA"/>
      </w:rPr>
    </w:lvl>
    <w:lvl w:ilvl="7" w:tplc="BB66C938">
      <w:numFmt w:val="bullet"/>
      <w:lvlText w:val="•"/>
      <w:lvlJc w:val="left"/>
      <w:pPr>
        <w:ind w:left="6236" w:hanging="296"/>
      </w:pPr>
      <w:rPr>
        <w:rFonts w:hint="default"/>
        <w:lang w:val="pl-PL" w:eastAsia="en-US" w:bidi="ar-SA"/>
      </w:rPr>
    </w:lvl>
    <w:lvl w:ilvl="8" w:tplc="2760DF1A">
      <w:numFmt w:val="bullet"/>
      <w:lvlText w:val="•"/>
      <w:lvlJc w:val="left"/>
      <w:pPr>
        <w:ind w:left="7259" w:hanging="296"/>
      </w:pPr>
      <w:rPr>
        <w:rFonts w:hint="default"/>
        <w:lang w:val="pl-PL" w:eastAsia="en-US" w:bidi="ar-SA"/>
      </w:rPr>
    </w:lvl>
  </w:abstractNum>
  <w:abstractNum w:abstractNumId="11" w15:restartNumberingAfterBreak="0">
    <w:nsid w:val="48F052D8"/>
    <w:multiLevelType w:val="hybridMultilevel"/>
    <w:tmpl w:val="BE36932C"/>
    <w:lvl w:ilvl="0" w:tplc="9B3A8546">
      <w:start w:val="1"/>
      <w:numFmt w:val="decimal"/>
      <w:lvlText w:val="%1)"/>
      <w:lvlJc w:val="left"/>
      <w:pPr>
        <w:ind w:left="836" w:hanging="360"/>
        <w:jc w:val="left"/>
      </w:pPr>
      <w:rPr>
        <w:rFonts w:ascii="Tahoma" w:eastAsia="Tahoma" w:hAnsi="Tahoma" w:cs="Tahoma" w:hint="default"/>
        <w:b/>
        <w:bCs/>
        <w:spacing w:val="0"/>
        <w:w w:val="80"/>
        <w:sz w:val="22"/>
        <w:szCs w:val="22"/>
        <w:lang w:val="pl-PL" w:eastAsia="en-US" w:bidi="ar-SA"/>
      </w:rPr>
    </w:lvl>
    <w:lvl w:ilvl="1" w:tplc="54BE87F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8C3D9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486845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9862CE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736AA9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D86AED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788C36E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75A7E7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29C76EA"/>
    <w:multiLevelType w:val="hybridMultilevel"/>
    <w:tmpl w:val="B04A73E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F86621"/>
    <w:multiLevelType w:val="hybridMultilevel"/>
    <w:tmpl w:val="195EB242"/>
    <w:lvl w:ilvl="0" w:tplc="0430F07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67B175F"/>
    <w:multiLevelType w:val="hybridMultilevel"/>
    <w:tmpl w:val="B04A7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983636"/>
    <w:multiLevelType w:val="hybridMultilevel"/>
    <w:tmpl w:val="06926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97701F"/>
    <w:multiLevelType w:val="hybridMultilevel"/>
    <w:tmpl w:val="3CE8E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16"/>
  </w:num>
  <w:num w:numId="9">
    <w:abstractNumId w:val="3"/>
  </w:num>
  <w:num w:numId="10">
    <w:abstractNumId w:val="15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2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D9"/>
    <w:rsid w:val="00006458"/>
    <w:rsid w:val="000107F8"/>
    <w:rsid w:val="00041ED0"/>
    <w:rsid w:val="00060297"/>
    <w:rsid w:val="00061988"/>
    <w:rsid w:val="000632CE"/>
    <w:rsid w:val="00091CA9"/>
    <w:rsid w:val="000A0A35"/>
    <w:rsid w:val="000A2B1A"/>
    <w:rsid w:val="000B1432"/>
    <w:rsid w:val="000C108F"/>
    <w:rsid w:val="000C43EF"/>
    <w:rsid w:val="000E4007"/>
    <w:rsid w:val="000F7431"/>
    <w:rsid w:val="001112FC"/>
    <w:rsid w:val="00112DB7"/>
    <w:rsid w:val="0012041A"/>
    <w:rsid w:val="00126C85"/>
    <w:rsid w:val="00130014"/>
    <w:rsid w:val="001352FA"/>
    <w:rsid w:val="00166D31"/>
    <w:rsid w:val="00184B74"/>
    <w:rsid w:val="001B5148"/>
    <w:rsid w:val="001B75BA"/>
    <w:rsid w:val="001C60AD"/>
    <w:rsid w:val="001D0C73"/>
    <w:rsid w:val="001E392A"/>
    <w:rsid w:val="001F673C"/>
    <w:rsid w:val="002008EA"/>
    <w:rsid w:val="00202CD2"/>
    <w:rsid w:val="002108F2"/>
    <w:rsid w:val="00212A9D"/>
    <w:rsid w:val="00246CF8"/>
    <w:rsid w:val="00266F3B"/>
    <w:rsid w:val="002A147B"/>
    <w:rsid w:val="002A69CB"/>
    <w:rsid w:val="002B52BE"/>
    <w:rsid w:val="002C4F0F"/>
    <w:rsid w:val="002D3B0F"/>
    <w:rsid w:val="002D7C93"/>
    <w:rsid w:val="002F1F09"/>
    <w:rsid w:val="00304104"/>
    <w:rsid w:val="00312B31"/>
    <w:rsid w:val="00326814"/>
    <w:rsid w:val="00346182"/>
    <w:rsid w:val="00383446"/>
    <w:rsid w:val="00386D91"/>
    <w:rsid w:val="003A2BC3"/>
    <w:rsid w:val="003C4FBF"/>
    <w:rsid w:val="003C54CB"/>
    <w:rsid w:val="003D312A"/>
    <w:rsid w:val="003D754C"/>
    <w:rsid w:val="003E376D"/>
    <w:rsid w:val="00404386"/>
    <w:rsid w:val="00416C8F"/>
    <w:rsid w:val="00417485"/>
    <w:rsid w:val="004200EA"/>
    <w:rsid w:val="00423795"/>
    <w:rsid w:val="00434BE9"/>
    <w:rsid w:val="00456124"/>
    <w:rsid w:val="004608C3"/>
    <w:rsid w:val="004A1FBD"/>
    <w:rsid w:val="004E0FF1"/>
    <w:rsid w:val="004F17B7"/>
    <w:rsid w:val="004F2109"/>
    <w:rsid w:val="004F48D2"/>
    <w:rsid w:val="00507263"/>
    <w:rsid w:val="00524392"/>
    <w:rsid w:val="00544FF6"/>
    <w:rsid w:val="00554029"/>
    <w:rsid w:val="00556F8E"/>
    <w:rsid w:val="005710BC"/>
    <w:rsid w:val="00587DDF"/>
    <w:rsid w:val="00591B88"/>
    <w:rsid w:val="00595046"/>
    <w:rsid w:val="005950D8"/>
    <w:rsid w:val="00597A81"/>
    <w:rsid w:val="005C6A6A"/>
    <w:rsid w:val="005D7242"/>
    <w:rsid w:val="005D73F9"/>
    <w:rsid w:val="005E1754"/>
    <w:rsid w:val="005E1E80"/>
    <w:rsid w:val="005E558B"/>
    <w:rsid w:val="00633693"/>
    <w:rsid w:val="00642922"/>
    <w:rsid w:val="00644BAF"/>
    <w:rsid w:val="00650D1D"/>
    <w:rsid w:val="00652016"/>
    <w:rsid w:val="00655485"/>
    <w:rsid w:val="006620F0"/>
    <w:rsid w:val="006739B5"/>
    <w:rsid w:val="006977AC"/>
    <w:rsid w:val="006B71A9"/>
    <w:rsid w:val="006C1DC2"/>
    <w:rsid w:val="006C4F5A"/>
    <w:rsid w:val="006C5FD4"/>
    <w:rsid w:val="006E0102"/>
    <w:rsid w:val="006E43A6"/>
    <w:rsid w:val="006E4CFD"/>
    <w:rsid w:val="0072215C"/>
    <w:rsid w:val="00722C9C"/>
    <w:rsid w:val="007249A8"/>
    <w:rsid w:val="007360FF"/>
    <w:rsid w:val="0074654F"/>
    <w:rsid w:val="0076646D"/>
    <w:rsid w:val="007843E3"/>
    <w:rsid w:val="00793210"/>
    <w:rsid w:val="007B0F01"/>
    <w:rsid w:val="007D6FD7"/>
    <w:rsid w:val="00813F5F"/>
    <w:rsid w:val="00823407"/>
    <w:rsid w:val="00824D0C"/>
    <w:rsid w:val="00842CF7"/>
    <w:rsid w:val="00844394"/>
    <w:rsid w:val="00854451"/>
    <w:rsid w:val="00861C25"/>
    <w:rsid w:val="0086350F"/>
    <w:rsid w:val="00876097"/>
    <w:rsid w:val="0087631F"/>
    <w:rsid w:val="00890217"/>
    <w:rsid w:val="008A1A5E"/>
    <w:rsid w:val="008B50D9"/>
    <w:rsid w:val="008C4C4F"/>
    <w:rsid w:val="008D6019"/>
    <w:rsid w:val="008E1037"/>
    <w:rsid w:val="008E3B7A"/>
    <w:rsid w:val="008E6699"/>
    <w:rsid w:val="008E739C"/>
    <w:rsid w:val="008F376A"/>
    <w:rsid w:val="008F4B2C"/>
    <w:rsid w:val="0092017E"/>
    <w:rsid w:val="00923177"/>
    <w:rsid w:val="00923C22"/>
    <w:rsid w:val="00932285"/>
    <w:rsid w:val="00937164"/>
    <w:rsid w:val="0095314C"/>
    <w:rsid w:val="00963215"/>
    <w:rsid w:val="00992EA4"/>
    <w:rsid w:val="00996921"/>
    <w:rsid w:val="009A7FD4"/>
    <w:rsid w:val="009B5F33"/>
    <w:rsid w:val="009B6382"/>
    <w:rsid w:val="009C0D65"/>
    <w:rsid w:val="009F04CA"/>
    <w:rsid w:val="009F11A3"/>
    <w:rsid w:val="00A02BF2"/>
    <w:rsid w:val="00A02CC1"/>
    <w:rsid w:val="00A11ACA"/>
    <w:rsid w:val="00A16EB9"/>
    <w:rsid w:val="00A208ED"/>
    <w:rsid w:val="00A50E73"/>
    <w:rsid w:val="00A953A4"/>
    <w:rsid w:val="00A96148"/>
    <w:rsid w:val="00AA2256"/>
    <w:rsid w:val="00AA294D"/>
    <w:rsid w:val="00B01093"/>
    <w:rsid w:val="00B21593"/>
    <w:rsid w:val="00B25E0C"/>
    <w:rsid w:val="00B42E9A"/>
    <w:rsid w:val="00B548D9"/>
    <w:rsid w:val="00B80843"/>
    <w:rsid w:val="00B965A7"/>
    <w:rsid w:val="00B970A8"/>
    <w:rsid w:val="00BB6F37"/>
    <w:rsid w:val="00C05F4C"/>
    <w:rsid w:val="00C06455"/>
    <w:rsid w:val="00C17427"/>
    <w:rsid w:val="00C31DBE"/>
    <w:rsid w:val="00C32C32"/>
    <w:rsid w:val="00C5120D"/>
    <w:rsid w:val="00C65FA1"/>
    <w:rsid w:val="00C75B75"/>
    <w:rsid w:val="00C844FB"/>
    <w:rsid w:val="00C90C91"/>
    <w:rsid w:val="00CB7EA0"/>
    <w:rsid w:val="00CD48DB"/>
    <w:rsid w:val="00CD63A7"/>
    <w:rsid w:val="00CE7583"/>
    <w:rsid w:val="00CE76C9"/>
    <w:rsid w:val="00CF231C"/>
    <w:rsid w:val="00CF3FF2"/>
    <w:rsid w:val="00D0119E"/>
    <w:rsid w:val="00D07036"/>
    <w:rsid w:val="00D20787"/>
    <w:rsid w:val="00D2269B"/>
    <w:rsid w:val="00D41FB3"/>
    <w:rsid w:val="00D54E76"/>
    <w:rsid w:val="00D560ED"/>
    <w:rsid w:val="00D7055E"/>
    <w:rsid w:val="00D72AB5"/>
    <w:rsid w:val="00D73018"/>
    <w:rsid w:val="00D9634D"/>
    <w:rsid w:val="00DA6C9E"/>
    <w:rsid w:val="00DB3CA1"/>
    <w:rsid w:val="00DC7585"/>
    <w:rsid w:val="00DD4456"/>
    <w:rsid w:val="00DF797E"/>
    <w:rsid w:val="00E111CF"/>
    <w:rsid w:val="00E15DC8"/>
    <w:rsid w:val="00E52941"/>
    <w:rsid w:val="00E64CDB"/>
    <w:rsid w:val="00E7764A"/>
    <w:rsid w:val="00E8358E"/>
    <w:rsid w:val="00E846F8"/>
    <w:rsid w:val="00E85700"/>
    <w:rsid w:val="00EA60EF"/>
    <w:rsid w:val="00EA66DE"/>
    <w:rsid w:val="00ED0C64"/>
    <w:rsid w:val="00ED4ED5"/>
    <w:rsid w:val="00ED4F43"/>
    <w:rsid w:val="00ED620B"/>
    <w:rsid w:val="00EF53AC"/>
    <w:rsid w:val="00F06D7D"/>
    <w:rsid w:val="00F22A7F"/>
    <w:rsid w:val="00F32CFF"/>
    <w:rsid w:val="00F37B46"/>
    <w:rsid w:val="00F76367"/>
    <w:rsid w:val="00F86101"/>
    <w:rsid w:val="00F91E77"/>
    <w:rsid w:val="00FA3685"/>
    <w:rsid w:val="00FA3A0A"/>
    <w:rsid w:val="00FA50AA"/>
    <w:rsid w:val="00FA5F2C"/>
    <w:rsid w:val="00FB19DB"/>
    <w:rsid w:val="00FB5427"/>
    <w:rsid w:val="00FB7E93"/>
    <w:rsid w:val="00FC07A1"/>
    <w:rsid w:val="00FD3F21"/>
    <w:rsid w:val="00FD68DF"/>
    <w:rsid w:val="00FE22ED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4313E"/>
  <w15:docId w15:val="{FC83DEF0-E2C0-49D0-B77B-6494DCF9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836" w:hanging="361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7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2F1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2F1F09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F1F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F09"/>
    <w:rPr>
      <w:rFonts w:ascii="Tahoma" w:eastAsia="Tahoma" w:hAnsi="Tahoma" w:cs="Tahoma"/>
      <w:lang w:val="pl-PL"/>
    </w:rPr>
  </w:style>
  <w:style w:type="paragraph" w:styleId="Bezodstpw">
    <w:name w:val="No Spacing"/>
    <w:qFormat/>
    <w:rsid w:val="00644BAF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11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11A3"/>
    <w:rPr>
      <w:rFonts w:ascii="Tahoma" w:eastAsia="Tahoma" w:hAnsi="Tahoma" w:cs="Tahoma"/>
      <w:lang w:val="pl-PL"/>
    </w:rPr>
  </w:style>
  <w:style w:type="paragraph" w:customStyle="1" w:styleId="Tekstpodstawowy21">
    <w:name w:val="Tekst podstawowy 21"/>
    <w:basedOn w:val="Normalny"/>
    <w:rsid w:val="009F11A3"/>
    <w:pPr>
      <w:autoSpaceDE/>
      <w:autoSpaceDN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C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CA9"/>
    <w:rPr>
      <w:rFonts w:ascii="Tahoma" w:eastAsia="Tahoma" w:hAnsi="Tahoma" w:cs="Tahom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91CA9"/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91CA9"/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customStyle="1" w:styleId="Tekstpodstawowy210">
    <w:name w:val="Tekst podstawowy 21"/>
    <w:basedOn w:val="Normalny"/>
    <w:rsid w:val="00091CA9"/>
    <w:pPr>
      <w:autoSpaceDE/>
      <w:autoSpaceDN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7AC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4B2C"/>
    <w:rPr>
      <w:rFonts w:ascii="Tahoma" w:eastAsia="Tahoma" w:hAnsi="Tahoma" w:cs="Tahoma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4B2C"/>
    <w:rPr>
      <w:vertAlign w:val="superscript"/>
    </w:rPr>
  </w:style>
  <w:style w:type="paragraph" w:styleId="Tytu">
    <w:name w:val="Title"/>
    <w:aliases w:val=" Znak"/>
    <w:basedOn w:val="Normalny"/>
    <w:next w:val="Podtytu"/>
    <w:link w:val="TytuZnak"/>
    <w:qFormat/>
    <w:rsid w:val="00D560ED"/>
    <w:pPr>
      <w:widowControl/>
      <w:pBdr>
        <w:bottom w:val="single" w:sz="4" w:space="1" w:color="000000"/>
      </w:pBdr>
      <w:suppressAutoHyphens/>
      <w:overflowPunct w:val="0"/>
      <w:autoSpaceDN/>
      <w:jc w:val="center"/>
      <w:textAlignment w:val="baseline"/>
    </w:pPr>
    <w:rPr>
      <w:rFonts w:ascii="Book Antiqua" w:eastAsia="Times New Roman" w:hAnsi="Book Antiqua" w:cs="Book Antiqua"/>
      <w:b/>
      <w:bCs/>
      <w:sz w:val="24"/>
      <w:szCs w:val="24"/>
      <w:lang w:eastAsia="ar-SA"/>
    </w:rPr>
  </w:style>
  <w:style w:type="character" w:customStyle="1" w:styleId="TytuZnak">
    <w:name w:val="Tytuł Znak"/>
    <w:aliases w:val=" Znak Znak"/>
    <w:basedOn w:val="Domylnaczcionkaakapitu"/>
    <w:link w:val="Tytu"/>
    <w:rsid w:val="00D560ED"/>
    <w:rPr>
      <w:rFonts w:ascii="Book Antiqua" w:eastAsia="Times New Roman" w:hAnsi="Book Antiqua" w:cs="Book Antiqua"/>
      <w:b/>
      <w:bCs/>
      <w:sz w:val="24"/>
      <w:szCs w:val="24"/>
      <w:lang w:val="pl-PL" w:eastAsia="ar-SA"/>
    </w:rPr>
  </w:style>
  <w:style w:type="paragraph" w:styleId="Podtytu">
    <w:name w:val="Subtitle"/>
    <w:basedOn w:val="Normalny"/>
    <w:next w:val="Normalny"/>
    <w:link w:val="PodtytuZnak"/>
    <w:qFormat/>
    <w:rsid w:val="00D560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560ED"/>
    <w:rPr>
      <w:rFonts w:eastAsiaTheme="minorEastAsia"/>
      <w:color w:val="5A5A5A" w:themeColor="text1" w:themeTint="A5"/>
      <w:spacing w:val="15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Wodecki Krystian (OSK Kielce PZUSA)</dc:creator>
  <cp:lastModifiedBy>user</cp:lastModifiedBy>
  <cp:revision>9</cp:revision>
  <dcterms:created xsi:type="dcterms:W3CDTF">2021-12-01T12:45:00Z</dcterms:created>
  <dcterms:modified xsi:type="dcterms:W3CDTF">2021-12-01T13:41:00Z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2021-11-22T00:00:00Z</vt:filetime>
  </property>
</Properties>
</file>