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4" w:rsidRPr="003F799F" w:rsidRDefault="00A57A90" w:rsidP="00861BB4">
      <w:pPr>
        <w:pStyle w:val="Styl1"/>
        <w:rPr>
          <w:rFonts w:ascii="Arial" w:hAnsi="Arial" w:cs="Arial"/>
          <w:b/>
          <w:sz w:val="24"/>
          <w:szCs w:val="24"/>
        </w:rPr>
      </w:pPr>
      <w:r w:rsidRPr="003F799F">
        <w:rPr>
          <w:rFonts w:ascii="Arial" w:hAnsi="Arial" w:cs="Arial"/>
          <w:b/>
          <w:sz w:val="24"/>
          <w:szCs w:val="24"/>
        </w:rPr>
        <w:t>Zadanie</w:t>
      </w:r>
      <w:r w:rsidR="003F799F" w:rsidRPr="003F799F">
        <w:rPr>
          <w:rFonts w:ascii="Arial" w:hAnsi="Arial" w:cs="Arial"/>
          <w:b/>
          <w:sz w:val="24"/>
          <w:szCs w:val="24"/>
        </w:rPr>
        <w:t xml:space="preserve"> 2</w:t>
      </w:r>
      <w:r w:rsidR="00B257CF" w:rsidRPr="003F799F">
        <w:rPr>
          <w:rFonts w:ascii="Arial" w:hAnsi="Arial" w:cs="Arial"/>
          <w:b/>
          <w:sz w:val="24"/>
          <w:szCs w:val="24"/>
        </w:rPr>
        <w:t>:</w:t>
      </w:r>
      <w:r w:rsidRPr="003F799F">
        <w:rPr>
          <w:rFonts w:ascii="Arial" w:hAnsi="Arial" w:cs="Arial"/>
          <w:b/>
          <w:sz w:val="24"/>
          <w:szCs w:val="24"/>
        </w:rPr>
        <w:t xml:space="preserve"> </w:t>
      </w:r>
      <w:r w:rsidR="003F799F" w:rsidRPr="003F799F">
        <w:rPr>
          <w:rFonts w:ascii="Arial" w:hAnsi="Arial" w:cs="Arial"/>
          <w:b/>
          <w:sz w:val="24"/>
          <w:szCs w:val="24"/>
        </w:rPr>
        <w:t>Wielofunkcyjne łóżka elektryczne z wyposażeniem</w:t>
      </w:r>
    </w:p>
    <w:p w:rsidR="00861BB4" w:rsidRPr="003F799F" w:rsidRDefault="00861BB4" w:rsidP="00861B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505"/>
        <w:gridCol w:w="1806"/>
        <w:gridCol w:w="1256"/>
      </w:tblGrid>
      <w:tr w:rsidR="004E551E" w:rsidRPr="003F799F" w:rsidTr="003F799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3F799F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3F799F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Lp</w:t>
            </w:r>
            <w:r w:rsidR="006B07A2" w:rsidRPr="003F799F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3F799F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3F799F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3F799F" w:rsidRDefault="004E551E" w:rsidP="00643B83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3F799F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</w:t>
            </w:r>
            <w:r w:rsidR="00643B83" w:rsidRPr="003F799F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3F799F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3F799F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F799F">
              <w:rPr>
                <w:rFonts w:ascii="Arial" w:hAnsi="Arial" w:cs="Arial"/>
                <w:b/>
                <w:sz w:val="20"/>
                <w:szCs w:val="20"/>
              </w:rPr>
              <w:t>Wielofunkcyjne łóżko elektryczne z wyposażeniem – 22 szt.: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Metalowa konstrukcja łóżka lakierowana proszkowo. Podstawa łóżka pozbawiona kabli oraz układów sterujących funkcjami łóżka, łatwa w utrzymaniu czystości.</w:t>
            </w:r>
          </w:p>
          <w:p w:rsidR="003F799F" w:rsidRPr="003F799F" w:rsidRDefault="003F799F" w:rsidP="002F7B61">
            <w:p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Powłoka lakiernicza zgodnie z normom EN ISO 10993-5:2009 lub równoważnym potwierdzającym że stosowana powłoka lakiernicza nie wywołuje zmian nowotworowych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Podstawa łóżka pantograf podpierająca leże w minimum 8 punktach, gwarantująca stabilność leża.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Wolna przestrzeń pomiędzy podłożem, a całym podwoziem wynosząca nie mniej niż 150 mm. umożliwiająca łatwy przejazd przez progi oraz wjazd do dźwigów osobowych.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Wymiary zewnętrzne łóżka: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długość całkowita: 2120 mm. (± 30 mm.) 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szerokość całkowita wraz z zamontowanymi barierkami max 1000mm. (wymiar leża min. 870 mm. x 2000 mm.)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Leże łóżka czterosegmentowe z czego min. 3 segmenty ruchome.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Zasilanie elektryczne  220/230 V</w:t>
            </w:r>
          </w:p>
          <w:p w:rsidR="003F799F" w:rsidRPr="003F799F" w:rsidRDefault="003F799F" w:rsidP="00142B24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Przewód zasilający skrętny.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2F7B6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Rama leża wyposażona w gniazdo wyrównania potencjału. Łóżko przebadane pod kątem bezpieczeństwa elektrycznego wg normy PN EN 62353 lub równoważnej – dołączyć protokół z badań przy dostawie produktu.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kabel wyposażony w tworzywowy uchwyt do zawieszenia na szczycie łóżka: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Regulacje elektryczne: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segment oparcia pleców 0-72° (± 2°)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segment uda 0-34° (± 2°)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kąt przechyłu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0-17° (± 2°)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kąt przechyłu anty-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0-17° (± 2°)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elektryczna regulacja wysokości w zakresie: 350 mm. do 850 mm. (± 20 mm.)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regulacja segmentu podudzia – ręczna   mechanizmem zapadkowym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automatyczne zatrzymanie w pozycji poziomej, podczas zmiany przechyłów wzdłużnych: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Funkcja krzesła kardiologicznego;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funkcja krzesła kardiologicznego uzyskiwana na pilocie pacjenta za pomocą jednego przycisku: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Elektryczna regulacja wysokości w zakresie: </w:t>
            </w:r>
            <w:r w:rsidRPr="003F799F">
              <w:rPr>
                <w:rFonts w:ascii="Arial" w:hAnsi="Arial" w:cs="Arial"/>
                <w:sz w:val="20"/>
                <w:szCs w:val="20"/>
              </w:rPr>
              <w:t>330 mm. do 830 mm. (± 30 mm.)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dolna pozycja łóżka 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360 mm. i mniej -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10 pkt.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lastRenderedPageBreak/>
              <w:t>powyżej 360 mm. - 0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Czas zmiany wysokości leża z pozycji minimalnej do maksymalnej - max. 23 sekund.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Łóżko sterowane przewodowym pilotem z możliwością blokady funkcji przez personel medyczny za pomocą blokady magnetycznej.</w:t>
            </w:r>
          </w:p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Łóżko sterowane przewodowym pilotem z możliwością blokady funkcji przez personel medyczny za pomocą blokady magnetycznej.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pilot pracujący w 2 trybach, tryb pielęgniarski dający dostęp do funkcji ratunkowych CPR i pozycja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antyszokowa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3F799F" w:rsidRPr="003F799F" w:rsidRDefault="003F799F" w:rsidP="00142B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 Nie – 0 pkt.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Łóżko wyposażone w panel sterujący chowany pod leżem w półce do odkładania pościeli.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Panel wyposażony w zabezpieczenie przed przypadkowym uruchomieniem (świadome użycie) funkcji elektrycznych z możliwością blokady poszczególnych funkcji pilota.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Panel sterujący wyposażony w funkcję regulacji segmentu oparcia pleców, uda, wysokości leża, pozycji wzdłużnych oraz uzyskiwanych za pomocą jednego przycisku funkcji anty-szokowej, egzaminacyjnej, CPR, krzesła kardiologicznego.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Panel z możliwością zawieszenie na szczycie łóżka od strony nóg.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Barierki wezgłowia wyposażone w sterowanie: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strona zewnętrzna:</w:t>
            </w:r>
          </w:p>
          <w:p w:rsidR="003F799F" w:rsidRPr="003F799F" w:rsidRDefault="003F799F" w:rsidP="003F799F">
            <w:pPr>
              <w:pStyle w:val="Akapitzlist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sterowanie wszystkimi regulacjami elektrycznymi leża;</w:t>
            </w:r>
          </w:p>
          <w:p w:rsidR="003F799F" w:rsidRPr="003F799F" w:rsidRDefault="003F799F" w:rsidP="003F799F">
            <w:pPr>
              <w:pStyle w:val="Akapitzlist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przycisk włączania / wyłączania podświetlenia;</w:t>
            </w:r>
          </w:p>
          <w:p w:rsidR="003F799F" w:rsidRPr="003F799F" w:rsidRDefault="003F799F" w:rsidP="003F799F">
            <w:pPr>
              <w:pStyle w:val="Akapitzlist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pozycje: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antyszokowa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i funkcja CPR – przyciski w osobnej sekcji, oznaczone innym kolorem niż pozostałe, aktywne z wciśniętym przyciskiem świadomego użycia;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strona wewnętrzna (pacjenta):</w:t>
            </w:r>
          </w:p>
          <w:p w:rsidR="003F799F" w:rsidRPr="003F799F" w:rsidRDefault="003F799F" w:rsidP="003F799F">
            <w:pPr>
              <w:pStyle w:val="Akapitzlist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sterowanie regulacjami sekcji wezgłowia, podudzia, przechyłu wzdłużnego anty-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>, wysokością;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Segment oparcia pleców z możliwością mechanicznego  szybkiego poziomowania (CPR) – dźwignia umieszczona pod segmentem wezgłowia.</w:t>
            </w:r>
          </w:p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Dźwignia CPR umożliwiająca mechaniczne uniesienie segmentu pleców w przypadku braku zasilania (alternatywny napęd).</w:t>
            </w:r>
          </w:p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Autokontur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segmentu oparcia pleców i uda.</w:t>
            </w:r>
          </w:p>
          <w:p w:rsidR="003F799F" w:rsidRPr="003F799F" w:rsidRDefault="003F799F" w:rsidP="00142B24">
            <w:pPr>
              <w:snapToGrid w:val="0"/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Autoregresja segmentu oparcia pleców zapobiegająca przed zsuwaniem pacjenta.</w:t>
            </w:r>
            <w:r w:rsidRPr="003F7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Leże wypełnione panelami z polipropylenu odpornego na działanie wysokiej temperatury, środków dezynfekujących oraz  promieni UV. Płyty odejmowane bez użycia narzędzi z otworami do montażu pasów unieruchamiających.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Układ elektryczny spełniający wymagania  IPX6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Przedłużenie leża o min. 180  mm.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Szczyty łóżka wykonane z tworzywa  z możliwością blokowania  przed niezamierzonym wypadnięciem  w czasie transportu za pomocą suwaków umieszczonych na ramie leża. Szczyty łatwo odejmowane, odporne na działanie wysokiej temperatury, uszkodzenia mechaniczne, chemiczne oraz promieniowanie UV. Wykonane z polipropylenu o grubości ściany min. 4mm. w technologii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Rotomulding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z kolorowymi wklejkami.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Łóżko wyposażone w cztery niezależne, opuszczane ruchem półkulistym, tworzywowe barierki boczne, zabezpieczające pacjenta, zgodne z norma medyczną ICE 60601-2-52 lub równoważną.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Opuszczanie oraz podnoszenie barierek bocznych za pomocą jednej ręki, wspomagane  pneumatyczne.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Barierki od strony głowy poruszające się wraz z segmentem oparcia pleców.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Wysokość barierek bocznych zabezpieczająca pacjenta  min. 39 cm.  </w:t>
            </w:r>
          </w:p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Barierki boczne wykonane z tworzywa, wypełnione wklejką kolorystyczną dostępną w minimum 6 kolorach.</w:t>
            </w:r>
          </w:p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en-US"/>
              </w:rPr>
              <w:t>Barierki zabezpieczające pacjenta na min. ¾ długości leża.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Wysuwana półka do odkładania pościeli, nie wystająca poza obrys ramy łóżka.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zamontowania po dwóch stronach łóżka uchwytów na worki urologiczne, worki umiejscowione na wysokości biodra.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 narożnikach leża 4 krążki stożkowe uniemożliwiające przypadkowe wyrwanie parapetów okiennych lub listew ściennych przy regulacji wysokości łóżka, chroniące łóżko i ściany przed uderzeniami oraz otarciami.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Leże w części środkowej wyprofilowane w  celu pełnienia funkcji uchwytu materaca. Nie dopuszcza się uchwytów materaca zlokalizowanych w segmencie nożnym  leża powodujące urazy kończyn i otarć podczas opuszczania łózka.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Podstawa łóżka jezdna wyposażona w antystatyczne, podwójne koła o średnicy min. 150mm. z centralną blokadą kół oraz blokadą kierunkową. Łóżko wyposażone w piąte koło.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wyboru kolorów wypełnień - min. 6 dostępnych  kolorów.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Bezpieczne obciążenie min. 250 kg.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Elementy wyposażenia łóżek: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9"/>
              </w:num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wieszak kroplówki;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39"/>
              </w:num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wysięgnik ręki z uchwytem;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3F799F" w:rsidRPr="003F799F" w:rsidRDefault="003F799F" w:rsidP="00142B2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F799F">
              <w:rPr>
                <w:rFonts w:ascii="Arial" w:hAnsi="Arial" w:cs="Arial"/>
                <w:b/>
                <w:sz w:val="20"/>
                <w:szCs w:val="20"/>
              </w:rPr>
              <w:t>Materace piankowe do łóżka wielofunkcyjnego – 22 szt.: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en-US"/>
              </w:rPr>
              <w:t>Materac wodoodporny, paroprzepuszczalny, wysokość min. 10 cm.; wyposażony w zdejmowany pokrowiec z zamkiem na 2 bokach w kształcie litery L; gęstość pianki – min.26 kg./m2;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b/>
                <w:sz w:val="20"/>
                <w:szCs w:val="20"/>
              </w:rPr>
              <w:t>Materac zmiennociśnieniowy do łóżka wielofunkcyjnego – 11 szt.: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 URPL) wspólne dla oferowanej pompy i materaca oraz instrukcję używania wspólną dla oferowanej pompy i materaca-dołączyć do oferty. Komplet urządzeń oznaczony w sposób umożliwiający jednoznaczną identyfikację wyrobu.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Materac przeznaczony do profilaktyki i/lub wspomagania leczenia odleżyn wszystkich stopni.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System pracy zmiennociśnieniowy co druga komora, z możliwością przełączenia na tryby statyczne.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Więcej niż jeden tryb statyczny.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Funkcja rotacji pracująca w trybie zmiennociśnieniowym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Materac zbudowany z 22-24 komór: 18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Poprzeczne komory materaca dwuwarstwowe (typu „komora na komorze”) – górna warstwa podpiera pacjenta i pracuje wg wybranego trybu, dolna warstwa statyczna jest wypełniona powietrzem i stanowi podkład pneumatyczny zabezpieczając pacjenta przed kontaktem z łóżkiem. Obie warstwy zgrzane ze sobą na stałe. Trzy komory w sekcji głowy statyczne.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Komory materaca pojedynczo wymienne.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Materac o wymiarach 200cm. x 90cm. x 21cm (± 1cm.)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Materac z systemem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owiewu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mikrootworkach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w komorach materaca, które pacjent blokuje swoim ciałem.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uppressAutoHyphens/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799F">
              <w:rPr>
                <w:rFonts w:ascii="Arial" w:hAnsi="Arial" w:cs="Arial"/>
                <w:sz w:val="20"/>
                <w:szCs w:val="20"/>
                <w:lang w:eastAsia="pl-PL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3F799F">
              <w:rPr>
                <w:rFonts w:ascii="Arial" w:hAnsi="Arial" w:cs="Arial"/>
                <w:sz w:val="20"/>
                <w:szCs w:val="20"/>
              </w:rPr>
              <w:t>antygrzybiczym</w:t>
            </w:r>
            <w:proofErr w:type="spellEnd"/>
            <w:r w:rsidRPr="003F799F">
              <w:rPr>
                <w:rFonts w:ascii="Arial" w:hAnsi="Arial" w:cs="Arial"/>
                <w:sz w:val="20"/>
                <w:szCs w:val="20"/>
              </w:rPr>
              <w:t xml:space="preserve"> i antybakteryjnym, z możliwością mycia, prania i dezynfekcji. </w:t>
            </w:r>
          </w:p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Pokrowiec mocowany do materaca za pomocą dwóch suwaków w celu łatwego zakładania i zdejmowania.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Materac w całości pneumatyczny (bez warstw gąbkowych, piankowych itp.). Materac kładziony na ramę łóżka.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Limit wagi pacjenta nie mniej niż 255kg.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 trybie transportowym materac pozostaje napompowany w całości w części zmiennociśnieniowej i statycznej.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Zakres ciśnienia pracy pompy – 25-60mmHg (±5mm Hg).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Funkcja maksymalnego wypełnienia materaca uruchamiana z jednego przycisku na pompie ułatwiająca przeprowadzenie np. czynności pielęgnacyjnych z automatycznym powrotem do poprzednich ustawień po 20 minutach 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Zasilanie 230V 50Hz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Przewód elektryczny odłączalny od pompy z zabezpieczeniem przed przypadkowym odłączeniem.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Przewód powietrzny z podłączeniem kątowym do pompy.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Montaż sprzętu, uruchomienie i oddanie do eksploatacji oraz </w:t>
            </w:r>
            <w:bookmarkStart w:id="0" w:name="_GoBack"/>
            <w:r w:rsidRPr="003F799F">
              <w:rPr>
                <w:rFonts w:ascii="Arial" w:hAnsi="Arial" w:cs="Arial"/>
                <w:sz w:val="20"/>
                <w:szCs w:val="20"/>
              </w:rPr>
              <w:t>szko</w:t>
            </w:r>
            <w:bookmarkEnd w:id="0"/>
            <w:r w:rsidRPr="003F799F">
              <w:rPr>
                <w:rFonts w:ascii="Arial" w:hAnsi="Arial" w:cs="Arial"/>
                <w:sz w:val="20"/>
                <w:szCs w:val="20"/>
              </w:rPr>
              <w:t>lenie personelu.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W cenie oferty gwarancyjne przeglądy okresowe niezbędne do prawidłowej pracy przedmiotu zamówienia w tym jeden przegląd w ostatnim miesiącu przed upływem gwarancji. </w:t>
            </w:r>
            <w:r w:rsidRPr="003F799F">
              <w:rPr>
                <w:rFonts w:ascii="Arial" w:hAnsi="Arial" w:cs="Arial"/>
                <w:sz w:val="20"/>
                <w:szCs w:val="20"/>
              </w:rPr>
              <w:lastRenderedPageBreak/>
              <w:t>Dotrzymanie terminu przeglądu leży po stronie Wykonawcy bez wcześniejszego wezwania ze strony Zamawiającego.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3F799F" w:rsidRPr="003F799F" w:rsidRDefault="003F799F" w:rsidP="00142B2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b/>
                <w:sz w:val="20"/>
                <w:szCs w:val="20"/>
              </w:rPr>
              <w:t>Szafka przyłóżkowa do wielofunkcyjnego łóżka elektrycznego – 22 szt.: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Korpus szafki wykonany z profili aluminiowych.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Ramki szuflad oraz boki korpusu wykonane z ocynkowanej stali pokrytej lakierem poliestrowo-epoksydowym.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Blat szafki oraz czoła szuflad wykonane z wytrzymałego i wodoodpornego tworzywa HPL (o grubości min. 6 mm.).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eastAsia="Calibri,Arial" w:hAnsi="Arial" w:cs="Arial"/>
                <w:sz w:val="20"/>
                <w:szCs w:val="20"/>
              </w:rPr>
              <w:t xml:space="preserve">Boczne krawędzie blatu szafki </w:t>
            </w:r>
            <w:r w:rsidRPr="003F799F">
              <w:rPr>
                <w:rFonts w:ascii="Arial" w:hAnsi="Arial" w:cs="Arial"/>
                <w:sz w:val="20"/>
                <w:szCs w:val="20"/>
              </w:rPr>
              <w:t>zabezpieczone aluminiowymi listwami w kształcie litery „C”.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Szafka składająca się z dwóch szuflad, pomiędzy szufladami półka na prasę o wysokości min. 160 mm. – dostęp do półki od frontu szafki.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 xml:space="preserve">Szuflada dolna wyposażona w odejmowany tworzywowy (ABS) wkład łatwy do mycia i dezynfekcji dzielący wnętrze szuflady na 2 części. Wysokość szuflady min. 350 mm.  Szuflada wyposażona w prowadnice rolkowe umożliwiające ciche i łatwe wysuwanie i domykanie. 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Wymiary zewnętrzne: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wysokość  -  890 mm. (± 20mm.)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szerokość szafki -  450 mm.  (± 20mm.)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szerokość szafki z zamontowanym, złożonym blatem bocznym - 560 mm.  (± 20mm.)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szerokość przy rozłożonym blacie - 1150 mm. (± 20mm.)</w:t>
            </w:r>
          </w:p>
          <w:p w:rsidR="003F799F" w:rsidRPr="003F799F" w:rsidRDefault="003F799F" w:rsidP="003F799F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głębokość  -  470 mm. (± 20mm.)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Szafka wyposażona w blat boczny z bezstopniową regulacją wysokości za pomocą sprężyny gazowej.</w:t>
            </w:r>
          </w:p>
          <w:p w:rsidR="003F799F" w:rsidRPr="003F799F" w:rsidRDefault="003F799F" w:rsidP="00142B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Sprężyna gazowa osłonięta w aluminiowej, prostokątnej obudowie.</w:t>
            </w:r>
          </w:p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w celu rozłożenia lub uniesienia blatu bocznego.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Regulacja blatu bocznego w zakresie: 750 - 1100 mm (± 30mm.);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F799F" w:rsidRPr="003F799F" w:rsidTr="003F799F">
        <w:tc>
          <w:tcPr>
            <w:tcW w:w="495" w:type="dxa"/>
          </w:tcPr>
          <w:p w:rsidR="003F799F" w:rsidRPr="003F799F" w:rsidRDefault="003F799F" w:rsidP="00142B24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</w:tcPr>
          <w:p w:rsidR="003F799F" w:rsidRPr="003F799F" w:rsidRDefault="003F799F" w:rsidP="00142B24">
            <w:pPr>
              <w:tabs>
                <w:tab w:val="left" w:pos="1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806" w:type="dxa"/>
          </w:tcPr>
          <w:p w:rsidR="003F799F" w:rsidRPr="003F799F" w:rsidRDefault="003F799F" w:rsidP="0014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6" w:type="dxa"/>
          </w:tcPr>
          <w:p w:rsidR="003F799F" w:rsidRPr="003F799F" w:rsidRDefault="003F799F" w:rsidP="00142B24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61BB4" w:rsidRPr="003F799F" w:rsidRDefault="00861BB4">
      <w:pPr>
        <w:rPr>
          <w:rFonts w:ascii="Arial" w:hAnsi="Arial" w:cs="Arial"/>
          <w:b/>
          <w:color w:val="2E74B5"/>
          <w:sz w:val="20"/>
          <w:szCs w:val="20"/>
          <w:highlight w:val="yellow"/>
          <w:lang w:val="x-none" w:eastAsia="pl-PL"/>
        </w:rPr>
      </w:pPr>
    </w:p>
    <w:p w:rsidR="00C1755E" w:rsidRPr="003F799F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799F">
        <w:rPr>
          <w:rFonts w:ascii="Arial" w:hAnsi="Arial" w:cs="Arial"/>
          <w:sz w:val="20"/>
          <w:szCs w:val="20"/>
        </w:rPr>
        <w:t>Wszystkie parametry i wartości podane w zestawieniu dotyczą oferowanej konfiguracji.</w:t>
      </w:r>
    </w:p>
    <w:p w:rsidR="00C1755E" w:rsidRPr="003F799F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799F">
        <w:rPr>
          <w:rFonts w:ascii="Arial" w:hAnsi="Arial" w:cs="Arial"/>
          <w:sz w:val="20"/>
          <w:szCs w:val="20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C1755E" w:rsidRPr="003F799F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799F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3F799F">
        <w:rPr>
          <w:rFonts w:ascii="Arial" w:hAnsi="Arial" w:cs="Arial"/>
          <w:bCs/>
          <w:sz w:val="20"/>
          <w:szCs w:val="20"/>
        </w:rPr>
        <w:t>foldery, prospekty, dane techniczne lub instrukcje oferowanego sprzętu; w języku polskim lub innym z tłumaczeniem na język polski, w oryginale lub kopii podpisane podpisem kwalifikowanym</w:t>
      </w:r>
      <w:r w:rsidRPr="003F799F">
        <w:rPr>
          <w:rFonts w:ascii="Arial" w:hAnsi="Arial" w:cs="Arial"/>
          <w:sz w:val="20"/>
          <w:szCs w:val="20"/>
        </w:rPr>
        <w:t>.</w:t>
      </w:r>
    </w:p>
    <w:p w:rsidR="00C1755E" w:rsidRPr="003F799F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799F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C1755E" w:rsidRPr="003F799F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799F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p w:rsidR="00C1755E" w:rsidRPr="003F799F" w:rsidRDefault="00C1755E">
      <w:pPr>
        <w:rPr>
          <w:rFonts w:ascii="Arial" w:hAnsi="Arial" w:cs="Arial"/>
          <w:b/>
          <w:color w:val="2E74B5"/>
          <w:sz w:val="20"/>
          <w:szCs w:val="20"/>
          <w:highlight w:val="yellow"/>
          <w:lang w:eastAsia="pl-PL"/>
        </w:rPr>
      </w:pPr>
    </w:p>
    <w:sectPr w:rsidR="00C1755E" w:rsidRPr="003F7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A2" w:rsidRDefault="006B07A2" w:rsidP="00C1755E">
      <w:pPr>
        <w:spacing w:after="0" w:line="240" w:lineRule="auto"/>
      </w:pPr>
      <w:r>
        <w:separator/>
      </w:r>
    </w:p>
  </w:endnote>
  <w:endnote w:type="continuationSeparator" w:id="0">
    <w:p w:rsidR="006B07A2" w:rsidRDefault="006B07A2" w:rsidP="00C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A2" w:rsidRDefault="006B07A2" w:rsidP="00C1755E">
      <w:pPr>
        <w:spacing w:after="0" w:line="240" w:lineRule="auto"/>
      </w:pPr>
      <w:r>
        <w:separator/>
      </w:r>
    </w:p>
  </w:footnote>
  <w:footnote w:type="continuationSeparator" w:id="0">
    <w:p w:rsidR="006B07A2" w:rsidRDefault="006B07A2" w:rsidP="00C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A2" w:rsidRDefault="006B07A2" w:rsidP="00C1755E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6B07A2" w:rsidRDefault="006B07A2" w:rsidP="00C175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56324F"/>
    <w:multiLevelType w:val="hybridMultilevel"/>
    <w:tmpl w:val="81BC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5AB"/>
    <w:multiLevelType w:val="hybridMultilevel"/>
    <w:tmpl w:val="A0AA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03AC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85C01"/>
    <w:multiLevelType w:val="hybridMultilevel"/>
    <w:tmpl w:val="9FD6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6F7A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73DA"/>
    <w:multiLevelType w:val="multilevel"/>
    <w:tmpl w:val="98E4FDD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F59B0"/>
    <w:multiLevelType w:val="hybridMultilevel"/>
    <w:tmpl w:val="3864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868"/>
    <w:multiLevelType w:val="hybridMultilevel"/>
    <w:tmpl w:val="FBCEC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E09"/>
    <w:multiLevelType w:val="multilevel"/>
    <w:tmpl w:val="4ECA0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35222"/>
    <w:multiLevelType w:val="hybridMultilevel"/>
    <w:tmpl w:val="5BDA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27B9"/>
    <w:multiLevelType w:val="hybridMultilevel"/>
    <w:tmpl w:val="281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B4200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654ED"/>
    <w:multiLevelType w:val="hybridMultilevel"/>
    <w:tmpl w:val="79AE87C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511260C"/>
    <w:multiLevelType w:val="hybridMultilevel"/>
    <w:tmpl w:val="A986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04A52"/>
    <w:multiLevelType w:val="hybridMultilevel"/>
    <w:tmpl w:val="C98C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E42C2"/>
    <w:multiLevelType w:val="hybridMultilevel"/>
    <w:tmpl w:val="8A34622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B32174"/>
    <w:multiLevelType w:val="multilevel"/>
    <w:tmpl w:val="23F850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EF1177C"/>
    <w:multiLevelType w:val="hybridMultilevel"/>
    <w:tmpl w:val="5A084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B72BFF"/>
    <w:multiLevelType w:val="hybridMultilevel"/>
    <w:tmpl w:val="3244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155CF"/>
    <w:multiLevelType w:val="hybridMultilevel"/>
    <w:tmpl w:val="5FB2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3A17"/>
    <w:multiLevelType w:val="hybridMultilevel"/>
    <w:tmpl w:val="A422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1C08"/>
    <w:multiLevelType w:val="hybridMultilevel"/>
    <w:tmpl w:val="0BBC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1650"/>
    <w:multiLevelType w:val="hybridMultilevel"/>
    <w:tmpl w:val="42B4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7310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1A7AD0"/>
    <w:multiLevelType w:val="hybridMultilevel"/>
    <w:tmpl w:val="9FDC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46D5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61FC3"/>
    <w:multiLevelType w:val="hybridMultilevel"/>
    <w:tmpl w:val="8A5A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0552E"/>
    <w:multiLevelType w:val="hybridMultilevel"/>
    <w:tmpl w:val="15D6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629E5"/>
    <w:multiLevelType w:val="hybridMultilevel"/>
    <w:tmpl w:val="F346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66132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45437"/>
    <w:multiLevelType w:val="hybridMultilevel"/>
    <w:tmpl w:val="43AA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E22EF"/>
    <w:multiLevelType w:val="hybridMultilevel"/>
    <w:tmpl w:val="C93C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64EA"/>
    <w:multiLevelType w:val="hybridMultilevel"/>
    <w:tmpl w:val="7578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29A9"/>
    <w:multiLevelType w:val="hybridMultilevel"/>
    <w:tmpl w:val="D53C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B3956"/>
    <w:multiLevelType w:val="hybridMultilevel"/>
    <w:tmpl w:val="958A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5A6E"/>
    <w:multiLevelType w:val="hybridMultilevel"/>
    <w:tmpl w:val="CEDC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840C8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46864"/>
    <w:multiLevelType w:val="hybridMultilevel"/>
    <w:tmpl w:val="AAB8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9"/>
  </w:num>
  <w:num w:numId="4">
    <w:abstractNumId w:val="25"/>
  </w:num>
  <w:num w:numId="5">
    <w:abstractNumId w:val="39"/>
  </w:num>
  <w:num w:numId="6">
    <w:abstractNumId w:val="3"/>
  </w:num>
  <w:num w:numId="7">
    <w:abstractNumId w:val="22"/>
  </w:num>
  <w:num w:numId="8">
    <w:abstractNumId w:val="37"/>
  </w:num>
  <w:num w:numId="9">
    <w:abstractNumId w:val="5"/>
  </w:num>
  <w:num w:numId="10">
    <w:abstractNumId w:val="38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35"/>
  </w:num>
  <w:num w:numId="16">
    <w:abstractNumId w:val="8"/>
  </w:num>
  <w:num w:numId="17">
    <w:abstractNumId w:val="17"/>
  </w:num>
  <w:num w:numId="18">
    <w:abstractNumId w:val="2"/>
  </w:num>
  <w:num w:numId="19">
    <w:abstractNumId w:val="16"/>
  </w:num>
  <w:num w:numId="20">
    <w:abstractNumId w:val="24"/>
  </w:num>
  <w:num w:numId="21">
    <w:abstractNumId w:val="32"/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0"/>
  </w:num>
  <w:num w:numId="28">
    <w:abstractNumId w:val="11"/>
  </w:num>
  <w:num w:numId="29">
    <w:abstractNumId w:val="20"/>
  </w:num>
  <w:num w:numId="30">
    <w:abstractNumId w:val="23"/>
  </w:num>
  <w:num w:numId="31">
    <w:abstractNumId w:val="34"/>
  </w:num>
  <w:num w:numId="32">
    <w:abstractNumId w:val="0"/>
  </w:num>
  <w:num w:numId="33">
    <w:abstractNumId w:val="9"/>
  </w:num>
  <w:num w:numId="34">
    <w:abstractNumId w:val="26"/>
  </w:num>
  <w:num w:numId="35">
    <w:abstractNumId w:val="1"/>
  </w:num>
  <w:num w:numId="36">
    <w:abstractNumId w:val="28"/>
  </w:num>
  <w:num w:numId="37">
    <w:abstractNumId w:val="21"/>
  </w:num>
  <w:num w:numId="38">
    <w:abstractNumId w:val="19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4F87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77AA0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43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2D74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122A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4043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1EDE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2F7B61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77DED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69F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2C2E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3F799F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19F2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059E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45BE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0255"/>
    <w:rsid w:val="004C13CB"/>
    <w:rsid w:val="004C28F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51E"/>
    <w:rsid w:val="004E56FC"/>
    <w:rsid w:val="004E5FC8"/>
    <w:rsid w:val="004F0F27"/>
    <w:rsid w:val="004F187C"/>
    <w:rsid w:val="004F3707"/>
    <w:rsid w:val="004F409E"/>
    <w:rsid w:val="004F59D5"/>
    <w:rsid w:val="004F727B"/>
    <w:rsid w:val="00500D5B"/>
    <w:rsid w:val="00500E3D"/>
    <w:rsid w:val="00500EA4"/>
    <w:rsid w:val="00502450"/>
    <w:rsid w:val="00502A92"/>
    <w:rsid w:val="00502FD1"/>
    <w:rsid w:val="0050576F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4540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3AA8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77F5C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0E66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B7A67"/>
    <w:rsid w:val="005C3A86"/>
    <w:rsid w:val="005C3E16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2DE"/>
    <w:rsid w:val="00635901"/>
    <w:rsid w:val="00636177"/>
    <w:rsid w:val="0063620F"/>
    <w:rsid w:val="006376B5"/>
    <w:rsid w:val="006408D6"/>
    <w:rsid w:val="00641365"/>
    <w:rsid w:val="0064153B"/>
    <w:rsid w:val="0064200C"/>
    <w:rsid w:val="00642EE6"/>
    <w:rsid w:val="00643B83"/>
    <w:rsid w:val="00645AEB"/>
    <w:rsid w:val="00650786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5955"/>
    <w:rsid w:val="006A76BE"/>
    <w:rsid w:val="006A7D45"/>
    <w:rsid w:val="006B07A2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95E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1E18"/>
    <w:rsid w:val="007C2973"/>
    <w:rsid w:val="007C51AF"/>
    <w:rsid w:val="007C54F6"/>
    <w:rsid w:val="007C5B4D"/>
    <w:rsid w:val="007C64F1"/>
    <w:rsid w:val="007C682F"/>
    <w:rsid w:val="007C7396"/>
    <w:rsid w:val="007D1FC2"/>
    <w:rsid w:val="007D3168"/>
    <w:rsid w:val="007D3BED"/>
    <w:rsid w:val="007D4BE9"/>
    <w:rsid w:val="007D5A0F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3CD"/>
    <w:rsid w:val="007E6D5B"/>
    <w:rsid w:val="007E6EB1"/>
    <w:rsid w:val="007E79ED"/>
    <w:rsid w:val="007E7D7A"/>
    <w:rsid w:val="007F1D8E"/>
    <w:rsid w:val="007F2090"/>
    <w:rsid w:val="007F2E33"/>
    <w:rsid w:val="00800568"/>
    <w:rsid w:val="00800B95"/>
    <w:rsid w:val="00802564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273D7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1BA9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23F5"/>
    <w:rsid w:val="009B2A2D"/>
    <w:rsid w:val="009B32F6"/>
    <w:rsid w:val="009B353E"/>
    <w:rsid w:val="009B36D8"/>
    <w:rsid w:val="009B40BE"/>
    <w:rsid w:val="009B483D"/>
    <w:rsid w:val="009B7EA8"/>
    <w:rsid w:val="009C13C2"/>
    <w:rsid w:val="009C194B"/>
    <w:rsid w:val="009C2078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1CF8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5D48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D83"/>
    <w:rsid w:val="00B23E59"/>
    <w:rsid w:val="00B257CF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3791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5C66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3094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55E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2D1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0838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CF71E4"/>
    <w:rsid w:val="00CF7FE6"/>
    <w:rsid w:val="00D00E73"/>
    <w:rsid w:val="00D01364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69C6"/>
    <w:rsid w:val="00D969E0"/>
    <w:rsid w:val="00D972C4"/>
    <w:rsid w:val="00D97E91"/>
    <w:rsid w:val="00D97F7A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1662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5EE"/>
    <w:rsid w:val="00E57D59"/>
    <w:rsid w:val="00E57D87"/>
    <w:rsid w:val="00E6126C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300C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2DA8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0475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5E87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619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397E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D36B-6A11-4C51-90AD-8BDE1B95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9CAFC38C.dotm</Template>
  <TotalTime>5</TotalTime>
  <Pages>7</Pages>
  <Words>2532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5</cp:revision>
  <dcterms:created xsi:type="dcterms:W3CDTF">2022-11-22T12:13:00Z</dcterms:created>
  <dcterms:modified xsi:type="dcterms:W3CDTF">2022-11-22T12:22:00Z</dcterms:modified>
</cp:coreProperties>
</file>