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22" w:rsidRDefault="00202FA0">
      <w:pPr>
        <w:ind w:hanging="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</w:t>
      </w:r>
    </w:p>
    <w:p w:rsidR="002A4822" w:rsidRDefault="002A4822">
      <w:pPr>
        <w:ind w:hanging="2"/>
        <w:jc w:val="center"/>
        <w:rPr>
          <w:rFonts w:eastAsia="Calibri"/>
          <w:b/>
          <w:sz w:val="22"/>
          <w:szCs w:val="22"/>
        </w:rPr>
      </w:pPr>
    </w:p>
    <w:p w:rsidR="002A4822" w:rsidRDefault="002A4822">
      <w:pPr>
        <w:ind w:hanging="2"/>
        <w:jc w:val="center"/>
        <w:rPr>
          <w:rFonts w:eastAsia="Calibri"/>
          <w:b/>
          <w:sz w:val="22"/>
          <w:szCs w:val="22"/>
        </w:rPr>
      </w:pPr>
    </w:p>
    <w:p w:rsidR="002A4822" w:rsidRDefault="00202FA0">
      <w:pPr>
        <w:ind w:hanging="2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FORMULARZ</w:t>
      </w:r>
    </w:p>
    <w:p w:rsidR="002A4822" w:rsidRDefault="00202FA0">
      <w:pPr>
        <w:ind w:hanging="2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OFERTA WYKONAWCY</w:t>
      </w:r>
    </w:p>
    <w:p w:rsidR="002A4822" w:rsidRDefault="002A4822">
      <w:pPr>
        <w:ind w:hanging="2"/>
        <w:jc w:val="both"/>
        <w:rPr>
          <w:rFonts w:eastAsia="Calibri"/>
          <w:sz w:val="22"/>
          <w:szCs w:val="22"/>
        </w:rPr>
      </w:pPr>
    </w:p>
    <w:p w:rsidR="006754F6" w:rsidRPr="0083139E" w:rsidRDefault="006754F6" w:rsidP="006754F6">
      <w:pPr>
        <w:pStyle w:val="Default"/>
        <w:ind w:hanging="2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83139E">
        <w:rPr>
          <w:rFonts w:ascii="Times New Roman" w:hAnsi="Times New Roman" w:cs="Times New Roman"/>
          <w:bCs/>
          <w:i/>
          <w:sz w:val="22"/>
          <w:szCs w:val="22"/>
        </w:rPr>
        <w:t xml:space="preserve">dotyczy: zapytanie ofertowe z dnia </w:t>
      </w:r>
      <w:bookmarkStart w:id="0" w:name="_GoBack"/>
      <w:bookmarkEnd w:id="0"/>
      <w:r>
        <w:rPr>
          <w:rFonts w:ascii="Times New Roman" w:hAnsi="Times New Roman" w:cs="Times New Roman"/>
          <w:bCs/>
          <w:i/>
          <w:sz w:val="22"/>
          <w:szCs w:val="22"/>
        </w:rPr>
        <w:t xml:space="preserve">6 maja </w:t>
      </w:r>
      <w:r w:rsidRPr="0083139E">
        <w:rPr>
          <w:rFonts w:ascii="Times New Roman" w:hAnsi="Times New Roman" w:cs="Times New Roman"/>
          <w:bCs/>
          <w:i/>
          <w:sz w:val="22"/>
          <w:szCs w:val="22"/>
        </w:rPr>
        <w:t xml:space="preserve">2021 r. </w:t>
      </w:r>
      <w:r>
        <w:rPr>
          <w:rFonts w:ascii="Times New Roman" w:hAnsi="Times New Roman" w:cs="Times New Roman"/>
          <w:bCs/>
          <w:i/>
          <w:sz w:val="22"/>
          <w:szCs w:val="22"/>
        </w:rPr>
        <w:t>dot. zrealizowania</w:t>
      </w:r>
      <w:r w:rsidRPr="0083139E">
        <w:rPr>
          <w:rFonts w:ascii="Times New Roman" w:hAnsi="Times New Roman" w:cs="Times New Roman"/>
          <w:bCs/>
          <w:i/>
          <w:sz w:val="22"/>
          <w:szCs w:val="22"/>
        </w:rPr>
        <w:t xml:space="preserve"> usługi szkoleniowej</w:t>
      </w:r>
    </w:p>
    <w:p w:rsidR="002A4822" w:rsidRDefault="002A4822">
      <w:pPr>
        <w:ind w:hanging="2"/>
        <w:jc w:val="both"/>
        <w:rPr>
          <w:rFonts w:eastAsia="Calibri"/>
          <w:sz w:val="22"/>
          <w:szCs w:val="22"/>
        </w:rPr>
      </w:pPr>
    </w:p>
    <w:p w:rsidR="002A4822" w:rsidRDefault="00202FA0">
      <w:pPr>
        <w:ind w:firstLine="720"/>
        <w:jc w:val="both"/>
      </w:pPr>
      <w:r>
        <w:rPr>
          <w:rFonts w:eastAsia="Calibri"/>
          <w:sz w:val="22"/>
          <w:szCs w:val="22"/>
        </w:rPr>
        <w:t xml:space="preserve">W odpowiedzi na zapytanie ofertowe </w:t>
      </w:r>
      <w:r>
        <w:rPr>
          <w:rFonts w:eastAsia="Calibri"/>
          <w:b/>
          <w:sz w:val="22"/>
          <w:szCs w:val="22"/>
        </w:rPr>
        <w:t>Katolickiego Uniwersytetu Lubelskiego</w:t>
      </w:r>
      <w:r>
        <w:rPr>
          <w:rFonts w:eastAsia="Calibri"/>
          <w:sz w:val="22"/>
          <w:szCs w:val="22"/>
        </w:rPr>
        <w:t xml:space="preserve"> z </w:t>
      </w:r>
      <w:r w:rsidR="006754F6">
        <w:rPr>
          <w:rFonts w:eastAsia="Calibri"/>
          <w:sz w:val="22"/>
          <w:szCs w:val="22"/>
        </w:rPr>
        <w:t>6</w:t>
      </w:r>
      <w:r>
        <w:rPr>
          <w:rFonts w:eastAsia="Calibri"/>
          <w:sz w:val="22"/>
          <w:szCs w:val="22"/>
        </w:rPr>
        <w:t xml:space="preserve"> maja 2021 r., </w:t>
      </w:r>
      <w:r>
        <w:rPr>
          <w:rFonts w:eastAsia="Calibri"/>
          <w:bCs/>
          <w:sz w:val="22"/>
          <w:szCs w:val="22"/>
        </w:rPr>
        <w:t xml:space="preserve">w związku z realizacją projektu </w:t>
      </w:r>
      <w:r>
        <w:rPr>
          <w:rFonts w:eastAsia="Calibri"/>
          <w:b/>
          <w:bCs/>
          <w:sz w:val="22"/>
          <w:szCs w:val="22"/>
          <w:u w:val="single"/>
        </w:rPr>
        <w:t>„Zintegrowany program rozwoju Katolickiego Uniwersytetu Lubelskiego Jana Pawła II” (3.5.2)</w:t>
      </w:r>
      <w:r>
        <w:rPr>
          <w:bCs/>
          <w:sz w:val="22"/>
          <w:szCs w:val="22"/>
        </w:rPr>
        <w:t>, współfinansowanego ze środków Europejskiego Funduszu Społecznego w ramach Programu Operacyjnego Wiedza Edukacja Rozwój, Oś priorytetowa III Szkolnictwo wyższe dla gospodarki i rozwoju, Działanie 3.5. Kompleksowe programy szkół wyższych,</w:t>
      </w:r>
    </w:p>
    <w:p w:rsidR="002A4822" w:rsidRDefault="002A4822">
      <w:pPr>
        <w:jc w:val="both"/>
        <w:rPr>
          <w:rFonts w:eastAsia="Calibri"/>
          <w:bCs/>
          <w:sz w:val="22"/>
          <w:szCs w:val="22"/>
        </w:rPr>
      </w:pPr>
    </w:p>
    <w:p w:rsidR="002A4822" w:rsidRDefault="00202FA0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Wykonawca:</w:t>
      </w:r>
    </w:p>
    <w:p w:rsidR="002A4822" w:rsidRDefault="002A4822">
      <w:pPr>
        <w:ind w:firstLine="720"/>
        <w:jc w:val="both"/>
        <w:rPr>
          <w:rFonts w:eastAsia="Calibri"/>
          <w:bCs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A4822">
        <w:tc>
          <w:tcPr>
            <w:tcW w:w="9072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Default="00202FA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Nazwa i adres Wykonawcy:</w:t>
            </w:r>
          </w:p>
        </w:tc>
      </w:tr>
      <w:tr w:rsidR="002A4822">
        <w:trPr>
          <w:trHeight w:val="785"/>
        </w:trPr>
        <w:tc>
          <w:tcPr>
            <w:tcW w:w="9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4822" w:rsidRDefault="00202FA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………………………………………………………...……………………………………………..</w:t>
            </w:r>
          </w:p>
        </w:tc>
      </w:tr>
      <w:tr w:rsidR="002A4822">
        <w:tc>
          <w:tcPr>
            <w:tcW w:w="453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Default="00202FA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NIP: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Default="00202FA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REGON:</w:t>
            </w:r>
          </w:p>
        </w:tc>
      </w:tr>
      <w:tr w:rsidR="002A4822">
        <w:trPr>
          <w:trHeight w:val="843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4822" w:rsidRDefault="00202FA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4822" w:rsidRDefault="00202FA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……………………………………………..</w:t>
            </w:r>
          </w:p>
        </w:tc>
      </w:tr>
      <w:tr w:rsidR="002A4822">
        <w:tc>
          <w:tcPr>
            <w:tcW w:w="453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Default="00202FA0">
            <w:pPr>
              <w:jc w:val="center"/>
            </w:pPr>
            <w:r>
              <w:rPr>
                <w:rFonts w:eastAsia="Calibri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Default="00202FA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E-MAIL:</w:t>
            </w:r>
          </w:p>
        </w:tc>
      </w:tr>
      <w:tr w:rsidR="002A4822">
        <w:trPr>
          <w:trHeight w:val="703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4822" w:rsidRDefault="00202FA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4822" w:rsidRDefault="00202FA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……………………………………………..</w:t>
            </w:r>
          </w:p>
        </w:tc>
      </w:tr>
    </w:tbl>
    <w:p w:rsidR="002A4822" w:rsidRDefault="002A4822">
      <w:pPr>
        <w:jc w:val="both"/>
        <w:rPr>
          <w:rFonts w:eastAsia="Calibri"/>
          <w:bCs/>
          <w:sz w:val="22"/>
          <w:szCs w:val="22"/>
        </w:rPr>
      </w:pPr>
    </w:p>
    <w:p w:rsidR="002A4822" w:rsidRDefault="00202FA0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oferuje Wykonanie usługi za następującą cenę: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377"/>
        <w:gridCol w:w="749"/>
        <w:gridCol w:w="1060"/>
        <w:gridCol w:w="826"/>
        <w:gridCol w:w="1113"/>
        <w:gridCol w:w="1078"/>
        <w:gridCol w:w="1078"/>
        <w:gridCol w:w="1077"/>
      </w:tblGrid>
      <w:tr w:rsidR="002A4822" w:rsidRPr="006754F6" w:rsidTr="001543CB">
        <w:trPr>
          <w:trHeight w:val="6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Część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Przedmiot zamówienia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Liczba osób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 xml:space="preserve">Cena jednostkowa netto </w:t>
            </w:r>
          </w:p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 xml:space="preserve">za </w:t>
            </w:r>
          </w:p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1 osobę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Stawka podatku VAT (w %)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 xml:space="preserve">Cena jednostkowa brutto </w:t>
            </w:r>
          </w:p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 xml:space="preserve">za </w:t>
            </w:r>
          </w:p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1 osobę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Wartość netto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Wartość podatku VAT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Wartość brutto</w:t>
            </w:r>
          </w:p>
        </w:tc>
      </w:tr>
      <w:tr w:rsidR="002A4822" w:rsidRPr="006754F6" w:rsidTr="001543CB">
        <w:trPr>
          <w:trHeight w:val="2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C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D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F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H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I</w:t>
            </w:r>
          </w:p>
        </w:tc>
      </w:tr>
      <w:tr w:rsidR="002A4822" w:rsidRPr="006754F6">
        <w:trPr>
          <w:trHeight w:val="272"/>
        </w:trPr>
        <w:tc>
          <w:tcPr>
            <w:tcW w:w="4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Sposób dokonywania obliczeń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D+(</w:t>
            </w:r>
            <w:proofErr w:type="spellStart"/>
            <w:r w:rsidRPr="006754F6">
              <w:rPr>
                <w:rFonts w:eastAsia="Calibri"/>
                <w:b/>
                <w:sz w:val="18"/>
                <w:szCs w:val="22"/>
              </w:rPr>
              <w:t>DxE</w:t>
            </w:r>
            <w:proofErr w:type="spellEnd"/>
            <w:r w:rsidRPr="006754F6">
              <w:rPr>
                <w:rFonts w:eastAsia="Calibri"/>
                <w:b/>
                <w:sz w:val="18"/>
                <w:szCs w:val="22"/>
              </w:rPr>
              <w:t>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proofErr w:type="spellStart"/>
            <w:r w:rsidRPr="006754F6">
              <w:rPr>
                <w:rFonts w:eastAsia="Calibri"/>
                <w:b/>
                <w:sz w:val="18"/>
                <w:szCs w:val="22"/>
              </w:rPr>
              <w:t>CxD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proofErr w:type="spellStart"/>
            <w:r w:rsidRPr="006754F6">
              <w:rPr>
                <w:rFonts w:eastAsia="Calibri"/>
                <w:b/>
                <w:sz w:val="18"/>
                <w:szCs w:val="22"/>
              </w:rPr>
              <w:t>GxE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Pr="006754F6" w:rsidRDefault="00202FA0">
            <w:pPr>
              <w:jc w:val="both"/>
              <w:rPr>
                <w:rFonts w:eastAsia="Calibri"/>
                <w:b/>
                <w:sz w:val="18"/>
              </w:rPr>
            </w:pPr>
            <w:r w:rsidRPr="006754F6">
              <w:rPr>
                <w:rFonts w:eastAsia="Calibri"/>
                <w:b/>
                <w:sz w:val="18"/>
                <w:szCs w:val="22"/>
              </w:rPr>
              <w:t>G+H</w:t>
            </w:r>
          </w:p>
        </w:tc>
      </w:tr>
      <w:tr w:rsidR="002A4822" w:rsidRPr="006754F6" w:rsidTr="001543C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22" w:rsidRPr="006754F6" w:rsidRDefault="00202FA0">
            <w:pPr>
              <w:jc w:val="center"/>
              <w:rPr>
                <w:rFonts w:eastAsia="Calibri"/>
                <w:sz w:val="18"/>
              </w:rPr>
            </w:pPr>
            <w:r w:rsidRPr="006754F6">
              <w:rPr>
                <w:rFonts w:eastAsia="Calibri"/>
                <w:sz w:val="18"/>
                <w:szCs w:val="22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4822" w:rsidRPr="006754F6" w:rsidRDefault="00202FA0">
            <w:pPr>
              <w:jc w:val="center"/>
              <w:rPr>
                <w:sz w:val="18"/>
              </w:rPr>
            </w:pPr>
            <w:r w:rsidRPr="006754F6">
              <w:rPr>
                <w:rFonts w:eastAsia="Calibri"/>
                <w:sz w:val="18"/>
                <w:szCs w:val="22"/>
              </w:rPr>
              <w:t xml:space="preserve">Usługa przeprowadzenia warsztatów w temacie: </w:t>
            </w:r>
            <w:r w:rsidR="00875E23">
              <w:rPr>
                <w:rFonts w:eastAsia="Calibri"/>
                <w:sz w:val="18"/>
                <w:szCs w:val="22"/>
              </w:rPr>
              <w:t>„</w:t>
            </w:r>
            <w:r w:rsidRPr="006754F6">
              <w:rPr>
                <w:rFonts w:eastAsia="Calibri"/>
                <w:b/>
                <w:sz w:val="18"/>
                <w:szCs w:val="22"/>
              </w:rPr>
              <w:t>Psychologia konfliktu</w:t>
            </w:r>
            <w:r w:rsidR="00875E23">
              <w:rPr>
                <w:rFonts w:eastAsia="Calibri"/>
                <w:b/>
                <w:sz w:val="18"/>
                <w:szCs w:val="22"/>
              </w:rPr>
              <w:t>”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22" w:rsidRPr="006754F6" w:rsidRDefault="00537C1B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4822" w:rsidRPr="006754F6" w:rsidRDefault="00202FA0">
            <w:pPr>
              <w:jc w:val="center"/>
              <w:rPr>
                <w:rFonts w:eastAsia="Calibri"/>
                <w:sz w:val="18"/>
              </w:rPr>
            </w:pPr>
            <w:r w:rsidRPr="006754F6">
              <w:rPr>
                <w:rFonts w:eastAsia="Calibri"/>
                <w:sz w:val="18"/>
                <w:szCs w:val="22"/>
              </w:rPr>
              <w:t>……. zł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4822" w:rsidRPr="006754F6" w:rsidRDefault="00202FA0">
            <w:pPr>
              <w:jc w:val="center"/>
              <w:rPr>
                <w:rFonts w:eastAsia="Calibri"/>
                <w:sz w:val="18"/>
              </w:rPr>
            </w:pPr>
            <w:r w:rsidRPr="006754F6">
              <w:rPr>
                <w:rFonts w:eastAsia="Calibri"/>
                <w:sz w:val="18"/>
                <w:szCs w:val="22"/>
              </w:rPr>
              <w:t>……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4822" w:rsidRPr="006754F6" w:rsidRDefault="00202FA0">
            <w:pPr>
              <w:jc w:val="center"/>
              <w:rPr>
                <w:rFonts w:eastAsia="Calibri"/>
                <w:sz w:val="18"/>
              </w:rPr>
            </w:pPr>
            <w:r w:rsidRPr="006754F6">
              <w:rPr>
                <w:rFonts w:eastAsia="Calibri"/>
                <w:sz w:val="18"/>
                <w:szCs w:val="22"/>
              </w:rPr>
              <w:t>……… zł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4822" w:rsidRPr="006754F6" w:rsidRDefault="00202FA0">
            <w:pPr>
              <w:jc w:val="center"/>
              <w:rPr>
                <w:rFonts w:eastAsia="Calibri"/>
                <w:sz w:val="18"/>
              </w:rPr>
            </w:pPr>
            <w:r w:rsidRPr="006754F6">
              <w:rPr>
                <w:rFonts w:eastAsia="Calibri"/>
                <w:sz w:val="18"/>
                <w:szCs w:val="22"/>
              </w:rPr>
              <w:t>……. zł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4822" w:rsidRPr="006754F6" w:rsidRDefault="00202FA0">
            <w:pPr>
              <w:jc w:val="center"/>
              <w:rPr>
                <w:rFonts w:eastAsia="Calibri"/>
                <w:sz w:val="18"/>
              </w:rPr>
            </w:pPr>
            <w:r w:rsidRPr="006754F6">
              <w:rPr>
                <w:rFonts w:eastAsia="Calibri"/>
                <w:sz w:val="18"/>
                <w:szCs w:val="22"/>
              </w:rPr>
              <w:t>……. zł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4822" w:rsidRPr="006754F6" w:rsidRDefault="00202FA0">
            <w:pPr>
              <w:jc w:val="center"/>
              <w:rPr>
                <w:rFonts w:eastAsia="Calibri"/>
                <w:sz w:val="18"/>
              </w:rPr>
            </w:pPr>
            <w:r w:rsidRPr="006754F6">
              <w:rPr>
                <w:rFonts w:eastAsia="Calibri"/>
                <w:sz w:val="18"/>
                <w:szCs w:val="22"/>
              </w:rPr>
              <w:t>……. zł</w:t>
            </w:r>
          </w:p>
        </w:tc>
      </w:tr>
    </w:tbl>
    <w:p w:rsidR="002A4822" w:rsidRDefault="00202FA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że:</w:t>
      </w:r>
    </w:p>
    <w:p w:rsidR="002A4822" w:rsidRDefault="00202FA0" w:rsidP="001543C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zapoznał się ze wszystkimi informacjami zawartymi w Zapytaniu ofertowym, opisem przedmiotu zamówienia i nie wnosi do niego zastrzeżeń oraz uzyskał informacje niezbędne do przygotowania oferty;</w:t>
      </w:r>
    </w:p>
    <w:p w:rsidR="002A4822" w:rsidRDefault="00202FA0" w:rsidP="001543C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oferowana całkowita cena brutto obejmuje wszystkie koszty niezbędne do prawidłowego zrealizowania przedmiotu zamówienia, narzuty na cenę, należne podatki i opłaty, w tym ewentualnie występujący podatek VAT; cena ofertowa jest maksymalnym wynagrodzeniem brutto należnym wykonawcy z tytuły realizacji umowy; w przypadku osób fizycznych, nie prowadzących działalności </w:t>
      </w:r>
      <w:r>
        <w:rPr>
          <w:sz w:val="22"/>
          <w:szCs w:val="22"/>
        </w:rPr>
        <w:lastRenderedPageBreak/>
        <w:t>gospodarczej, cena ofertowa jest maksymalnym wynagrodzeniem należnym wykonawcy z tytuły realizacji umowy wraz ze wszystkimi pochodnymi wymaganymi wg. przepisów prawa (tzw. koszt całkowity);</w:t>
      </w:r>
    </w:p>
    <w:p w:rsidR="002A4822" w:rsidRDefault="00202FA0" w:rsidP="001543C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związany jest niniejszą ofertą przez okres 30 dni od upływu terminu składania ofert;</w:t>
      </w:r>
    </w:p>
    <w:p w:rsidR="002A4822" w:rsidRDefault="00202FA0" w:rsidP="001543C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wyboru oferty zobowiązuje się do zawarcia z Zamawiającym umowy na wykonanie przedmiotu zamówienia w formie pisemnej w miejscu i terminie wyznaczonym przez Zamawiającego;</w:t>
      </w:r>
    </w:p>
    <w:p w:rsidR="002A4822" w:rsidRDefault="00202FA0" w:rsidP="001543CB">
      <w:pPr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color w:val="000000"/>
          <w:sz w:val="22"/>
          <w:szCs w:val="22"/>
        </w:rPr>
        <w:t>spełnia warunki udziału w postępowaniu zgodnie z wymaganiami określonymi w Zapytaniu ofertowym;</w:t>
      </w:r>
    </w:p>
    <w:p w:rsidR="002A4822" w:rsidRDefault="00202FA0" w:rsidP="001543C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nie jest powiązany z Zamawiającym osobowo lub kapitałowo.</w:t>
      </w:r>
    </w:p>
    <w:p w:rsidR="002A4822" w:rsidRPr="001543CB" w:rsidRDefault="00202FA0" w:rsidP="001543CB">
      <w:pPr>
        <w:ind w:left="567" w:hanging="283"/>
        <w:rPr>
          <w:sz w:val="20"/>
        </w:rPr>
      </w:pPr>
      <w:r w:rsidRPr="001543CB">
        <w:rPr>
          <w:i/>
          <w:sz w:val="18"/>
          <w:szCs w:val="22"/>
          <w:u w:val="single" w:color="000000"/>
        </w:rPr>
        <w:t>Pouczenie:</w:t>
      </w:r>
      <w:r w:rsidRPr="001543CB">
        <w:rPr>
          <w:i/>
          <w:sz w:val="18"/>
          <w:szCs w:val="22"/>
        </w:rPr>
        <w:t xml:space="preserve">  </w:t>
      </w:r>
    </w:p>
    <w:p w:rsidR="002A4822" w:rsidRPr="001543CB" w:rsidRDefault="00202FA0" w:rsidP="001543CB">
      <w:pPr>
        <w:spacing w:line="247" w:lineRule="auto"/>
        <w:ind w:left="284" w:right="280"/>
        <w:rPr>
          <w:i/>
          <w:sz w:val="18"/>
          <w:szCs w:val="22"/>
        </w:rPr>
      </w:pPr>
      <w:r w:rsidRPr="001543CB">
        <w:rPr>
          <w:i/>
          <w:sz w:val="18"/>
          <w:szCs w:val="22"/>
        </w:rPr>
        <w:t xml:space="preserve">Przez powiązania osobowe lub kapitałowe rozumie się wzajemne powiązania między Wykonawcą a Zamawiającym lub osobami upoważnionymi do zaciągania zobowiązań w imieniu Zamawiającego lub osobami wykonującymi w imieniu Zamawiającego czynności związane z przeprowadzeniem procedury wyboru Wykonawcy, polegające w szczególności na: </w:t>
      </w:r>
    </w:p>
    <w:p w:rsidR="002A4822" w:rsidRPr="001543CB" w:rsidRDefault="00202FA0" w:rsidP="001543CB">
      <w:pPr>
        <w:numPr>
          <w:ilvl w:val="0"/>
          <w:numId w:val="2"/>
        </w:numPr>
        <w:spacing w:line="247" w:lineRule="auto"/>
        <w:ind w:left="567" w:right="280" w:hanging="283"/>
        <w:jc w:val="both"/>
        <w:rPr>
          <w:i/>
          <w:sz w:val="18"/>
          <w:szCs w:val="22"/>
        </w:rPr>
      </w:pPr>
      <w:r w:rsidRPr="001543CB">
        <w:rPr>
          <w:i/>
          <w:sz w:val="18"/>
          <w:szCs w:val="22"/>
        </w:rPr>
        <w:t>uczestniczeniu w spółce jako wspólnik spółki cywilnej lub spółki osobowej;</w:t>
      </w:r>
    </w:p>
    <w:p w:rsidR="002A4822" w:rsidRPr="001543CB" w:rsidRDefault="00202FA0" w:rsidP="001543CB">
      <w:pPr>
        <w:numPr>
          <w:ilvl w:val="0"/>
          <w:numId w:val="2"/>
        </w:numPr>
        <w:spacing w:line="247" w:lineRule="auto"/>
        <w:ind w:left="567" w:right="280" w:hanging="283"/>
        <w:jc w:val="both"/>
        <w:rPr>
          <w:i/>
          <w:sz w:val="18"/>
          <w:szCs w:val="22"/>
        </w:rPr>
      </w:pPr>
      <w:r w:rsidRPr="001543CB">
        <w:rPr>
          <w:i/>
          <w:sz w:val="18"/>
          <w:szCs w:val="22"/>
        </w:rPr>
        <w:t>posiadaniu co najmniej 10% udziałów lub akcji; o ile niższy próg nie wynika z przepisów prawa lub nie został określony przez IZ PO;</w:t>
      </w:r>
    </w:p>
    <w:p w:rsidR="002A4822" w:rsidRPr="001543CB" w:rsidRDefault="00202FA0" w:rsidP="001543CB">
      <w:pPr>
        <w:numPr>
          <w:ilvl w:val="0"/>
          <w:numId w:val="2"/>
        </w:numPr>
        <w:spacing w:line="247" w:lineRule="auto"/>
        <w:ind w:left="567" w:right="280" w:hanging="283"/>
        <w:jc w:val="both"/>
        <w:rPr>
          <w:i/>
          <w:sz w:val="18"/>
          <w:szCs w:val="22"/>
        </w:rPr>
      </w:pPr>
      <w:r w:rsidRPr="001543CB">
        <w:rPr>
          <w:i/>
          <w:sz w:val="18"/>
          <w:szCs w:val="22"/>
        </w:rPr>
        <w:t xml:space="preserve">pełnieniu funkcji członka organu nadzorczego lub zarządzającego, prokurenta, pełnomocnika; </w:t>
      </w:r>
    </w:p>
    <w:p w:rsidR="002A4822" w:rsidRPr="001543CB" w:rsidRDefault="00202FA0" w:rsidP="001543CB">
      <w:pPr>
        <w:numPr>
          <w:ilvl w:val="0"/>
          <w:numId w:val="2"/>
        </w:numPr>
        <w:spacing w:line="247" w:lineRule="auto"/>
        <w:ind w:left="567" w:right="280" w:hanging="283"/>
        <w:jc w:val="both"/>
        <w:rPr>
          <w:i/>
          <w:sz w:val="18"/>
          <w:szCs w:val="22"/>
        </w:rPr>
      </w:pPr>
      <w:r w:rsidRPr="001543CB">
        <w:rPr>
          <w:i/>
          <w:sz w:val="18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A4822" w:rsidRDefault="00202FA0" w:rsidP="001543CB">
      <w:pPr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eastAsia="Arial Unicode MS"/>
          <w:sz w:val="22"/>
          <w:szCs w:val="22"/>
        </w:rPr>
        <w:t xml:space="preserve">zobowiązuje się do wykonania przedmiotu zamówienia zgodnie ze złożoną ofertą </w:t>
      </w:r>
      <w:r>
        <w:rPr>
          <w:rFonts w:eastAsia="Arial Unicode MS"/>
          <w:sz w:val="22"/>
          <w:szCs w:val="22"/>
        </w:rPr>
        <w:br/>
        <w:t>z uwzględnieniem wszystkich wymagań Zamawiającego wynikających z zapytania ofertowego.</w:t>
      </w:r>
    </w:p>
    <w:p w:rsidR="002A4822" w:rsidRDefault="002A4822">
      <w:pPr>
        <w:spacing w:line="276" w:lineRule="auto"/>
        <w:jc w:val="both"/>
        <w:rPr>
          <w:rFonts w:eastAsia="Arial Unicode MS"/>
          <w:sz w:val="22"/>
          <w:szCs w:val="22"/>
        </w:rPr>
      </w:pPr>
    </w:p>
    <w:p w:rsidR="002A4822" w:rsidRDefault="002A4822">
      <w:pPr>
        <w:spacing w:line="276" w:lineRule="auto"/>
        <w:jc w:val="both"/>
        <w:rPr>
          <w:rFonts w:eastAsia="Arial Unicode MS"/>
          <w:sz w:val="22"/>
          <w:szCs w:val="22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6"/>
        <w:gridCol w:w="4946"/>
      </w:tblGrid>
      <w:tr w:rsidR="002A4822">
        <w:trPr>
          <w:trHeight w:val="748"/>
          <w:jc w:val="center"/>
        </w:trPr>
        <w:tc>
          <w:tcPr>
            <w:tcW w:w="4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4822" w:rsidRDefault="00202F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………………...........................</w:t>
            </w:r>
          </w:p>
        </w:tc>
        <w:tc>
          <w:tcPr>
            <w:tcW w:w="4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4822" w:rsidRDefault="00202F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......................................................................................</w:t>
            </w:r>
          </w:p>
        </w:tc>
      </w:tr>
      <w:tr w:rsidR="002A4822">
        <w:trPr>
          <w:trHeight w:val="419"/>
          <w:jc w:val="center"/>
        </w:trPr>
        <w:tc>
          <w:tcPr>
            <w:tcW w:w="4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Default="00202FA0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(miejscowość, data)</w:t>
            </w:r>
          </w:p>
        </w:tc>
        <w:tc>
          <w:tcPr>
            <w:tcW w:w="4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22" w:rsidRDefault="00202FA0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(podpis osoby/osób upoważnionej do reprezentowania Wykonawcy / pieczęć firmowa)</w:t>
            </w:r>
          </w:p>
        </w:tc>
      </w:tr>
    </w:tbl>
    <w:p w:rsidR="002A4822" w:rsidRDefault="002A4822">
      <w:pPr>
        <w:tabs>
          <w:tab w:val="left" w:pos="5986"/>
        </w:tabs>
        <w:rPr>
          <w:rFonts w:eastAsia="Calibri"/>
          <w:sz w:val="22"/>
          <w:szCs w:val="22"/>
        </w:rPr>
      </w:pPr>
    </w:p>
    <w:sectPr w:rsidR="002A4822" w:rsidSect="00CD7DB4">
      <w:headerReference w:type="default" r:id="rId7"/>
      <w:footerReference w:type="default" r:id="rId8"/>
      <w:pgSz w:w="11906" w:h="16838"/>
      <w:pgMar w:top="2344" w:right="1417" w:bottom="709" w:left="1417" w:header="142" w:footer="11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B2" w:rsidRDefault="00D85AB2">
      <w:r>
        <w:separator/>
      </w:r>
    </w:p>
  </w:endnote>
  <w:endnote w:type="continuationSeparator" w:id="0">
    <w:p w:rsidR="00D85AB2" w:rsidRDefault="00D8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82568890"/>
      <w:docPartObj>
        <w:docPartGallery w:val="Page Numbers (Bottom of Page)"/>
        <w:docPartUnique/>
      </w:docPartObj>
    </w:sdtPr>
    <w:sdtEndPr/>
    <w:sdtContent>
      <w:p w:rsidR="00C12904" w:rsidRPr="00C12904" w:rsidRDefault="0069088A">
        <w:pPr>
          <w:pStyle w:val="Stopka"/>
          <w:jc w:val="right"/>
          <w:rPr>
            <w:rFonts w:ascii="Times New Roman" w:hAnsi="Times New Roman"/>
          </w:rPr>
        </w:pPr>
        <w:r w:rsidRPr="00E143A6">
          <w:rPr>
            <w:noProof/>
            <w:lang w:eastAsia="pl-PL"/>
          </w:rPr>
          <w:drawing>
            <wp:anchor distT="0" distB="0" distL="114300" distR="114300" simplePos="0" relativeHeight="251661312" behindDoc="0" locked="0" layoutInCell="1" allowOverlap="1" wp14:anchorId="3E143401" wp14:editId="281BE4F4">
              <wp:simplePos x="0" y="0"/>
              <wp:positionH relativeFrom="margin">
                <wp:align>center</wp:align>
              </wp:positionH>
              <wp:positionV relativeFrom="paragraph">
                <wp:posOffset>138989</wp:posOffset>
              </wp:positionV>
              <wp:extent cx="4016628" cy="785994"/>
              <wp:effectExtent l="0" t="0" r="3175" b="0"/>
              <wp:wrapNone/>
              <wp:docPr id="28" name="Obraz 28" descr="C:\Users\lgolec\Downloads\Fundusze_Europejskie_Wiedza_Eukacja_Rozwoj\POZIOM\POLSKI\FE_Wiedza_Edukacja_Rozwoj_rgb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lgolec\Downloads\Fundusze_Europejskie_Wiedza_Eukacja_Rozwoj\POZIOM\POLSKI\FE_Wiedza_Edukacja_Rozwoj_rgb-2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16628" cy="7859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12904" w:rsidRPr="00C12904">
          <w:rPr>
            <w:rFonts w:ascii="Times New Roman" w:hAnsi="Times New Roman"/>
          </w:rPr>
          <w:fldChar w:fldCharType="begin"/>
        </w:r>
        <w:r w:rsidR="00C12904" w:rsidRPr="00C12904">
          <w:rPr>
            <w:rFonts w:ascii="Times New Roman" w:hAnsi="Times New Roman"/>
          </w:rPr>
          <w:instrText>PAGE   \* MERGEFORMAT</w:instrText>
        </w:r>
        <w:r w:rsidR="00C12904" w:rsidRPr="00C12904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="00C12904" w:rsidRPr="00C12904">
          <w:rPr>
            <w:rFonts w:ascii="Times New Roman" w:hAnsi="Times New Roman"/>
          </w:rPr>
          <w:fldChar w:fldCharType="end"/>
        </w:r>
      </w:p>
    </w:sdtContent>
  </w:sdt>
  <w:p w:rsidR="00AC420D" w:rsidRDefault="00D85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B2" w:rsidRDefault="00D85AB2">
      <w:r>
        <w:rPr>
          <w:color w:val="000000"/>
        </w:rPr>
        <w:separator/>
      </w:r>
    </w:p>
  </w:footnote>
  <w:footnote w:type="continuationSeparator" w:id="0">
    <w:p w:rsidR="00D85AB2" w:rsidRDefault="00D8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20D" w:rsidRDefault="00202FA0">
    <w:pPr>
      <w:pStyle w:val="Nagwek"/>
      <w:tabs>
        <w:tab w:val="clear" w:pos="4536"/>
        <w:tab w:val="clear" w:pos="9072"/>
        <w:tab w:val="left" w:pos="341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-87351</wp:posOffset>
          </wp:positionV>
          <wp:extent cx="7563916" cy="1316736"/>
          <wp:effectExtent l="0" t="0" r="0" b="0"/>
          <wp:wrapNone/>
          <wp:docPr id="5" name="LOGO_KUL_REK_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916" cy="13167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768"/>
    <w:multiLevelType w:val="multilevel"/>
    <w:tmpl w:val="10B41FFE"/>
    <w:lvl w:ilvl="0">
      <w:start w:val="1"/>
      <w:numFmt w:val="decimal"/>
      <w:lvlText w:val="%1."/>
      <w:lvlJc w:val="left"/>
      <w:pPr>
        <w:ind w:left="1080" w:hanging="72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3184"/>
    <w:multiLevelType w:val="multilevel"/>
    <w:tmpl w:val="7EF03AB2"/>
    <w:lvl w:ilvl="0">
      <w:start w:val="1"/>
      <w:numFmt w:val="lowerLetter"/>
      <w:lvlText w:val="%1."/>
      <w:lvlJc w:val="left"/>
      <w:pPr>
        <w:ind w:left="862" w:firstLine="0"/>
      </w:pPr>
      <w:rPr>
        <w:rFonts w:ascii="Times New Roman" w:eastAsia="Calibri" w:hAnsi="Times New Roman" w:cs="Times New Roman"/>
        <w:b w:val="0"/>
        <w:i/>
        <w:strike w:val="0"/>
        <w:dstrike w:val="0"/>
        <w:color w:val="000000"/>
        <w:position w:val="0"/>
        <w:sz w:val="18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22"/>
    <w:rsid w:val="000C44E6"/>
    <w:rsid w:val="001543CB"/>
    <w:rsid w:val="00202FA0"/>
    <w:rsid w:val="002A4822"/>
    <w:rsid w:val="00537C1B"/>
    <w:rsid w:val="006754F6"/>
    <w:rsid w:val="0069088A"/>
    <w:rsid w:val="007E7995"/>
    <w:rsid w:val="007F7ADB"/>
    <w:rsid w:val="00875E23"/>
    <w:rsid w:val="008C43BB"/>
    <w:rsid w:val="00C12904"/>
    <w:rsid w:val="00CD7DB4"/>
    <w:rsid w:val="00D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21602D-E6FB-46BE-8B59-4A563C2A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uiPriority w:val="99"/>
  </w:style>
  <w:style w:type="paragraph" w:styleId="Tekstprzypisukocowego">
    <w:name w:val="endnote text"/>
    <w:basedOn w:val="Normalny"/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rFonts w:ascii="Times New Roman" w:hAnsi="Times New Roman" w:cs="Times New Roman"/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pPr>
      <w:spacing w:before="100" w:after="100"/>
    </w:pPr>
  </w:style>
  <w:style w:type="paragraph" w:styleId="Tekstdymka">
    <w:name w:val="Balloon Text"/>
    <w:basedOn w:val="Normalny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Arial" w:eastAsia="Times New Roman" w:hAnsi="Arial" w:cs="Arial"/>
      <w:sz w:val="18"/>
      <w:szCs w:val="18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eksttreci">
    <w:name w:val="Tekst treści_"/>
    <w:basedOn w:val="Domylnaczcionkaakapitu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88" w:lineRule="auto"/>
      <w:jc w:val="both"/>
    </w:pPr>
    <w:rPr>
      <w:rFonts w:ascii="Calibri" w:eastAsia="Calibri" w:hAnsi="Calibri"/>
      <w:sz w:val="19"/>
      <w:szCs w:val="19"/>
      <w:lang w:eastAsia="en-US"/>
    </w:rPr>
  </w:style>
  <w:style w:type="paragraph" w:customStyle="1" w:styleId="v1v1msonormal">
    <w:name w:val="v1v1msonormal"/>
    <w:basedOn w:val="Normalny"/>
    <w:pPr>
      <w:spacing w:before="100" w:after="100"/>
    </w:pPr>
  </w:style>
  <w:style w:type="paragraph" w:customStyle="1" w:styleId="v1v1gmail-msolistparagraph">
    <w:name w:val="v1v1gmail-msolistparagraph"/>
    <w:basedOn w:val="Normalny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Golec</dc:creator>
  <cp:lastModifiedBy>Łukasz Golec</cp:lastModifiedBy>
  <cp:revision>9</cp:revision>
  <dcterms:created xsi:type="dcterms:W3CDTF">2021-05-05T12:06:00Z</dcterms:created>
  <dcterms:modified xsi:type="dcterms:W3CDTF">2021-05-06T12:51:00Z</dcterms:modified>
</cp:coreProperties>
</file>