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14A7E2F8"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3D465E">
        <w:rPr>
          <w:rFonts w:ascii="Arial" w:hAnsi="Arial" w:cs="Arial"/>
        </w:rPr>
        <w:t>1</w:t>
      </w:r>
      <w:r w:rsidR="00864CCD">
        <w:rPr>
          <w:rFonts w:ascii="Arial" w:hAnsi="Arial" w:cs="Arial"/>
        </w:rPr>
        <w:t>3</w:t>
      </w:r>
      <w:r>
        <w:rPr>
          <w:rFonts w:ascii="Arial" w:hAnsi="Arial" w:cs="Arial"/>
        </w:rPr>
        <w:t xml:space="preserve"> </w:t>
      </w:r>
      <w:r w:rsidR="00864CCD">
        <w:rPr>
          <w:rFonts w:ascii="Arial" w:hAnsi="Arial" w:cs="Arial"/>
        </w:rPr>
        <w:t>grudnia</w:t>
      </w:r>
      <w:r>
        <w:rPr>
          <w:rFonts w:ascii="Arial" w:hAnsi="Arial" w:cs="Arial"/>
        </w:rPr>
        <w:t xml:space="preserve"> </w:t>
      </w:r>
      <w:r w:rsidRPr="00661B96">
        <w:rPr>
          <w:rFonts w:ascii="Arial" w:hAnsi="Arial" w:cs="Arial"/>
        </w:rPr>
        <w:t>2023</w:t>
      </w:r>
      <w:r w:rsidR="003D465E">
        <w:rPr>
          <w:rFonts w:ascii="Arial" w:hAnsi="Arial" w:cs="Arial"/>
        </w:rPr>
        <w:t>r</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03BD397F" w:rsidR="003E02A6" w:rsidRPr="00661B96" w:rsidRDefault="003E02A6" w:rsidP="00661B96">
      <w:pPr>
        <w:rPr>
          <w:rFonts w:ascii="Arial" w:hAnsi="Arial" w:cs="Arial"/>
        </w:rPr>
      </w:pPr>
      <w:r w:rsidRPr="00661B96">
        <w:rPr>
          <w:rFonts w:ascii="Arial" w:hAnsi="Arial" w:cs="Arial"/>
        </w:rPr>
        <w:t>Nr postępowania:</w:t>
      </w:r>
      <w:r w:rsidR="002228F3">
        <w:rPr>
          <w:rFonts w:ascii="Arial" w:hAnsi="Arial" w:cs="Arial"/>
        </w:rPr>
        <w:t>2</w:t>
      </w:r>
      <w:r w:rsidR="003D465E">
        <w:rPr>
          <w:rFonts w:ascii="Arial" w:hAnsi="Arial" w:cs="Arial"/>
        </w:rPr>
        <w:t>/1</w:t>
      </w:r>
      <w:r w:rsidR="00864CCD">
        <w:rPr>
          <w:rFonts w:ascii="Arial" w:hAnsi="Arial" w:cs="Arial"/>
        </w:rPr>
        <w:t>2</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61188C86" w14:textId="30521020" w:rsidR="003D465E" w:rsidRDefault="00864CCD" w:rsidP="003D465E">
      <w:pPr>
        <w:spacing w:after="0" w:line="240" w:lineRule="auto"/>
        <w:jc w:val="center"/>
        <w:rPr>
          <w:rFonts w:ascii="Arial" w:hAnsi="Arial" w:cs="Arial"/>
          <w:b/>
          <w:bCs/>
          <w:kern w:val="0"/>
          <w:sz w:val="28"/>
          <w:szCs w:val="28"/>
        </w:rPr>
      </w:pPr>
      <w:r w:rsidRPr="00864CCD">
        <w:rPr>
          <w:rFonts w:ascii="Arial" w:hAnsi="Arial" w:cs="Arial"/>
          <w:b/>
          <w:bCs/>
          <w:kern w:val="0"/>
          <w:sz w:val="28"/>
          <w:szCs w:val="28"/>
        </w:rPr>
        <w:t>Wykonanie instalacji elektrycznej dotyczącej oświetlenia boiska w Gminie Włocławek</w:t>
      </w:r>
    </w:p>
    <w:p w14:paraId="1E628C77" w14:textId="77777777" w:rsidR="00864CCD" w:rsidRPr="00864CCD" w:rsidRDefault="00864CCD" w:rsidP="003D465E">
      <w:pPr>
        <w:spacing w:after="0" w:line="240" w:lineRule="auto"/>
        <w:jc w:val="center"/>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12BF9EE6" w14:textId="2E3D132F" w:rsidR="003D465E" w:rsidRPr="00864CCD" w:rsidRDefault="00A1490C" w:rsidP="00864CCD">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0FF61733" w14:textId="73DDD10B" w:rsidR="003D465E" w:rsidRPr="00864CCD" w:rsidRDefault="002228F3" w:rsidP="00864CCD">
      <w:pPr>
        <w:ind w:firstLine="708"/>
        <w:rPr>
          <w:rFonts w:ascii="Arial" w:hAnsi="Arial" w:cs="Arial"/>
        </w:rPr>
      </w:pPr>
      <w:r w:rsidRPr="00864CCD">
        <w:rPr>
          <w:rFonts w:ascii="Arial" w:hAnsi="Arial" w:cs="Arial"/>
        </w:rPr>
        <w:t xml:space="preserve">Przedmiotem niniejszego opracowania jest </w:t>
      </w:r>
      <w:r w:rsidR="00864CCD" w:rsidRPr="00864CCD">
        <w:rPr>
          <w:rFonts w:ascii="Arial" w:hAnsi="Arial" w:cs="Arial"/>
        </w:rPr>
        <w:t>p</w:t>
      </w:r>
      <w:r w:rsidR="00864CCD" w:rsidRPr="00864CCD">
        <w:rPr>
          <w:rFonts w:ascii="Arial" w:hAnsi="Arial" w:cs="Arial"/>
        </w:rPr>
        <w:t>rojekt oświetlenie terenu</w:t>
      </w:r>
      <w:r w:rsidR="00864CCD">
        <w:rPr>
          <w:rFonts w:ascii="Arial" w:hAnsi="Arial" w:cs="Arial"/>
        </w:rPr>
        <w:t xml:space="preserve"> boisk</w:t>
      </w:r>
      <w:r w:rsidR="00864CCD" w:rsidRPr="00864CCD">
        <w:rPr>
          <w:rFonts w:ascii="Arial" w:hAnsi="Arial" w:cs="Arial"/>
        </w:rPr>
        <w:t xml:space="preserve"> za pomocą co najmniej 12 stanowisk oświetleniowych na słupach</w:t>
      </w:r>
      <w:r w:rsidRPr="00864CCD">
        <w:rPr>
          <w:rFonts w:ascii="Arial" w:hAnsi="Arial" w:cs="Arial"/>
        </w:rPr>
        <w:t>.</w:t>
      </w:r>
    </w:p>
    <w:p w14:paraId="48EE3111" w14:textId="77777777" w:rsidR="002228F3" w:rsidRDefault="002228F3" w:rsidP="002228F3">
      <w:pPr>
        <w:pStyle w:val="Akapitzlist"/>
        <w:ind w:left="1080"/>
        <w:jc w:val="both"/>
        <w:rPr>
          <w:rFonts w:ascii="Arial" w:hAnsi="Arial" w:cs="Arial"/>
        </w:rPr>
      </w:pPr>
    </w:p>
    <w:p w14:paraId="5F0F26FE" w14:textId="006CBE13" w:rsidR="00A1490C" w:rsidRPr="003D465E" w:rsidRDefault="00A1490C" w:rsidP="003D465E">
      <w:pPr>
        <w:pStyle w:val="Akapitzlist"/>
        <w:numPr>
          <w:ilvl w:val="0"/>
          <w:numId w:val="2"/>
        </w:numPr>
        <w:jc w:val="both"/>
        <w:rPr>
          <w:rFonts w:ascii="Arial" w:hAnsi="Arial" w:cs="Arial"/>
        </w:rPr>
      </w:pPr>
      <w:r w:rsidRPr="003D465E">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77777777" w:rsidR="00A1490C" w:rsidRDefault="00A1490C" w:rsidP="00A1490C">
      <w:pPr>
        <w:pStyle w:val="Akapitzlist"/>
        <w:ind w:left="1080"/>
        <w:rPr>
          <w:rFonts w:ascii="Arial" w:hAnsi="Arial" w:cs="Arial"/>
          <w:highlight w:val="yellow"/>
        </w:rPr>
      </w:pPr>
    </w:p>
    <w:p w14:paraId="09B3C023" w14:textId="77777777" w:rsidR="00254931" w:rsidRDefault="00254931" w:rsidP="00A1490C">
      <w:pPr>
        <w:pStyle w:val="Akapitzlist"/>
        <w:ind w:left="1080"/>
        <w:rPr>
          <w:rFonts w:ascii="Arial" w:hAnsi="Arial" w:cs="Arial"/>
          <w:highlight w:val="yellow"/>
        </w:rPr>
      </w:pPr>
    </w:p>
    <w:p w14:paraId="7290D77A" w14:textId="77777777" w:rsidR="00864CCD" w:rsidRDefault="00864CCD" w:rsidP="00A1490C">
      <w:pPr>
        <w:pStyle w:val="Akapitzlist"/>
        <w:ind w:left="1080"/>
        <w:rPr>
          <w:rFonts w:ascii="Arial" w:hAnsi="Arial" w:cs="Arial"/>
          <w:highlight w:val="yellow"/>
        </w:rPr>
      </w:pPr>
    </w:p>
    <w:p w14:paraId="63CA72A2" w14:textId="77777777" w:rsidR="00864CCD" w:rsidRPr="00661B96" w:rsidRDefault="00864CCD" w:rsidP="00A1490C">
      <w:pPr>
        <w:pStyle w:val="Akapitzlist"/>
        <w:ind w:left="1080"/>
        <w:rPr>
          <w:rFonts w:ascii="Arial" w:hAnsi="Arial" w:cs="Arial"/>
          <w:highlight w:val="yellow"/>
        </w:rPr>
      </w:pPr>
    </w:p>
    <w:p w14:paraId="5F0F2706"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lastRenderedPageBreak/>
        <w:t>Termin i miejsce wykonania zamówienia:</w:t>
      </w:r>
    </w:p>
    <w:p w14:paraId="46336C47" w14:textId="4C760C22" w:rsidR="00864CCD" w:rsidRDefault="00864CCD" w:rsidP="00864CCD">
      <w:pPr>
        <w:pStyle w:val="Akapitzlist"/>
        <w:rPr>
          <w:rFonts w:ascii="Arial" w:hAnsi="Arial" w:cs="Arial"/>
        </w:rPr>
      </w:pPr>
      <w:r w:rsidRPr="00864CCD">
        <w:rPr>
          <w:rFonts w:ascii="Arial" w:hAnsi="Arial" w:cs="Arial"/>
        </w:rPr>
        <w:t>Inwestycja zlokalizowana jest na dz. nr 36/10 i 37/1 obręb 1070 Włocławek KM 107 oraz dz. nr 1/21 i 3 obręb 1100 Włocławek KM 110 w bezpośrednim sąsiedztwie miejskiego kompleksu sportowego, terenów sportowych: w pobliżu hali widowiskowo- sportowej „Hala mistrzów”, boisk sportowych  do piłki nożnej, kortów tenisowych.</w:t>
      </w:r>
    </w:p>
    <w:p w14:paraId="3DB4839D" w14:textId="77777777" w:rsidR="00864CCD" w:rsidRPr="00864CCD" w:rsidRDefault="00864CCD" w:rsidP="00864CCD">
      <w:pPr>
        <w:pStyle w:val="Akapitzlist"/>
        <w:rPr>
          <w:rFonts w:ascii="Arial" w:hAnsi="Arial" w:cs="Arial"/>
        </w:rPr>
      </w:pPr>
    </w:p>
    <w:p w14:paraId="5F0F2707" w14:textId="4E844DC1"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864CCD">
        <w:rPr>
          <w:rFonts w:ascii="Arial" w:hAnsi="Arial" w:cs="Arial"/>
          <w:b/>
          <w:bCs/>
          <w:kern w:val="0"/>
        </w:rPr>
        <w:t>3</w:t>
      </w:r>
      <w:r w:rsidR="00B64CA5">
        <w:rPr>
          <w:rFonts w:ascii="Arial" w:hAnsi="Arial" w:cs="Arial"/>
          <w:b/>
          <w:bCs/>
          <w:kern w:val="0"/>
        </w:rPr>
        <w:t xml:space="preserve"> </w:t>
      </w:r>
      <w:r w:rsidR="003D465E">
        <w:rPr>
          <w:rFonts w:ascii="Arial" w:hAnsi="Arial" w:cs="Arial"/>
          <w:b/>
          <w:bCs/>
          <w:kern w:val="0"/>
        </w:rPr>
        <w:t>miesięcy</w:t>
      </w:r>
      <w:r w:rsidR="00B64CA5">
        <w:rPr>
          <w:rFonts w:ascii="Arial" w:hAnsi="Arial" w:cs="Arial"/>
          <w:b/>
          <w:bCs/>
          <w:kern w:val="0"/>
        </w:rPr>
        <w:t xml:space="preserve"> od daty podpisania umowy.</w:t>
      </w:r>
    </w:p>
    <w:p w14:paraId="71E88038" w14:textId="77777777" w:rsidR="003D465E" w:rsidRDefault="003D465E" w:rsidP="003D465E">
      <w:pPr>
        <w:pStyle w:val="Akapitzlist"/>
        <w:jc w:val="both"/>
        <w:rPr>
          <w:rFonts w:ascii="Arial" w:hAnsi="Arial" w:cs="Arial"/>
        </w:rPr>
      </w:pPr>
    </w:p>
    <w:p w14:paraId="5F0F270A" w14:textId="15C0CC35" w:rsidR="00A1490C" w:rsidRPr="00661B96" w:rsidRDefault="00A1490C" w:rsidP="003D465E">
      <w:pPr>
        <w:pStyle w:val="Akapitzlist"/>
        <w:jc w:val="both"/>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089D353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w:t>
      </w:r>
      <w:r w:rsidR="003D465E">
        <w:rPr>
          <w:rFonts w:ascii="Arial" w:hAnsi="Arial" w:cs="Arial"/>
        </w:rPr>
        <w:t>3</w:t>
      </w:r>
      <w:r w:rsidR="004236BF" w:rsidRPr="00661B96">
        <w:rPr>
          <w:rFonts w:ascii="Arial" w:hAnsi="Arial" w:cs="Arial"/>
        </w:rPr>
        <w:t xml:space="preserve">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2BBE6386"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7C6A01" w:rsidRPr="00661B96">
        <w:rPr>
          <w:rFonts w:ascii="Arial" w:hAnsi="Arial" w:cs="Arial"/>
          <w:b/>
          <w:bCs/>
        </w:rPr>
        <w:t>2</w:t>
      </w:r>
      <w:r w:rsidR="00864CCD">
        <w:rPr>
          <w:rFonts w:ascii="Arial" w:hAnsi="Arial" w:cs="Arial"/>
          <w:b/>
          <w:bCs/>
        </w:rPr>
        <w:t>1</w:t>
      </w:r>
      <w:r w:rsidR="003D465E">
        <w:rPr>
          <w:rFonts w:ascii="Arial" w:hAnsi="Arial" w:cs="Arial"/>
          <w:b/>
          <w:bCs/>
        </w:rPr>
        <w:t xml:space="preserve"> </w:t>
      </w:r>
      <w:r w:rsidR="00864CCD">
        <w:rPr>
          <w:rFonts w:ascii="Arial" w:hAnsi="Arial" w:cs="Arial"/>
          <w:b/>
          <w:bCs/>
        </w:rPr>
        <w:t>grudnia</w:t>
      </w:r>
      <w:r w:rsidR="007627EB">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7627EB">
        <w:rPr>
          <w:rFonts w:ascii="Arial" w:hAnsi="Arial" w:cs="Arial"/>
          <w:b/>
          <w:bCs/>
        </w:rPr>
        <w:t>1</w:t>
      </w:r>
      <w:r w:rsidR="00864CCD">
        <w:rPr>
          <w:rFonts w:ascii="Arial" w:hAnsi="Arial" w:cs="Arial"/>
          <w:b/>
          <w:bCs/>
        </w:rPr>
        <w:t>2</w:t>
      </w:r>
      <w:r w:rsidR="007627EB">
        <w:rPr>
          <w:rFonts w:ascii="Arial" w:hAnsi="Arial" w:cs="Arial"/>
          <w:b/>
          <w:bCs/>
        </w:rPr>
        <w:t>:00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lastRenderedPageBreak/>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22B557C8"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w:t>
      </w:r>
    </w:p>
    <w:p w14:paraId="5F0F2761" w14:textId="21F55286" w:rsidR="008955AB" w:rsidRPr="003D465E" w:rsidRDefault="00B21952" w:rsidP="007627EB">
      <w:pPr>
        <w:pStyle w:val="Akapitzlist"/>
        <w:numPr>
          <w:ilvl w:val="0"/>
          <w:numId w:val="11"/>
        </w:numPr>
        <w:spacing w:after="0"/>
        <w:ind w:left="567" w:hanging="567"/>
        <w:rPr>
          <w:rFonts w:ascii="Arial" w:hAnsi="Arial" w:cs="Arial"/>
        </w:rPr>
      </w:pPr>
      <w:r w:rsidRPr="00D87E59">
        <w:rPr>
          <w:rFonts w:ascii="Arial" w:hAnsi="Arial" w:cs="Arial"/>
          <w:b/>
          <w:bCs/>
          <w:sz w:val="18"/>
          <w:szCs w:val="18"/>
        </w:rPr>
        <w:t xml:space="preserve">Załącznik „Umowa” </w:t>
      </w: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9" w14:textId="545A787C" w:rsidR="003E02A6" w:rsidRPr="000A768B" w:rsidRDefault="003E02A6" w:rsidP="000A768B">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sectPr w:rsidR="003E02A6" w:rsidRPr="000A768B"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A768B"/>
    <w:rsid w:val="000E42BA"/>
    <w:rsid w:val="00103FB7"/>
    <w:rsid w:val="00193F6D"/>
    <w:rsid w:val="001C4164"/>
    <w:rsid w:val="002228F3"/>
    <w:rsid w:val="00247CC6"/>
    <w:rsid w:val="00252484"/>
    <w:rsid w:val="00254931"/>
    <w:rsid w:val="002D61F9"/>
    <w:rsid w:val="002D7266"/>
    <w:rsid w:val="003D465E"/>
    <w:rsid w:val="003E02A6"/>
    <w:rsid w:val="004236BF"/>
    <w:rsid w:val="00616B3D"/>
    <w:rsid w:val="006213E7"/>
    <w:rsid w:val="006269F9"/>
    <w:rsid w:val="00661B96"/>
    <w:rsid w:val="00690E4A"/>
    <w:rsid w:val="006F7D7F"/>
    <w:rsid w:val="007627EB"/>
    <w:rsid w:val="007C6A01"/>
    <w:rsid w:val="00864CCD"/>
    <w:rsid w:val="008955AB"/>
    <w:rsid w:val="009B48E5"/>
    <w:rsid w:val="009E03C9"/>
    <w:rsid w:val="009E3077"/>
    <w:rsid w:val="00A1490C"/>
    <w:rsid w:val="00A55F6C"/>
    <w:rsid w:val="00AB22DE"/>
    <w:rsid w:val="00B21952"/>
    <w:rsid w:val="00B33533"/>
    <w:rsid w:val="00B64CA5"/>
    <w:rsid w:val="00B82990"/>
    <w:rsid w:val="00B95511"/>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1629</Words>
  <Characters>9779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18</cp:revision>
  <dcterms:created xsi:type="dcterms:W3CDTF">2023-03-23T07:36:00Z</dcterms:created>
  <dcterms:modified xsi:type="dcterms:W3CDTF">2023-12-13T11:43:00Z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