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E1" w:rsidRDefault="00422CE1" w:rsidP="00422CE1">
      <w:pPr>
        <w:jc w:val="right"/>
        <w:rPr>
          <w:b/>
          <w:bCs/>
        </w:rPr>
      </w:pPr>
      <w:r>
        <w:rPr>
          <w:b/>
          <w:bCs/>
        </w:rPr>
        <w:t>Szczecin, dnia 21.02.2020 r.</w:t>
      </w:r>
    </w:p>
    <w:p w:rsidR="00422CE1" w:rsidRDefault="00422CE1" w:rsidP="00422CE1">
      <w:pPr>
        <w:jc w:val="right"/>
        <w:rPr>
          <w:b/>
          <w:bCs/>
        </w:rPr>
      </w:pPr>
    </w:p>
    <w:p w:rsidR="00FD6E67" w:rsidRDefault="00FD6E67" w:rsidP="00422CE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Wykonawcy uczestniczący w postępowaniu</w:t>
      </w:r>
    </w:p>
    <w:p w:rsidR="00FD6E67" w:rsidRDefault="00FD6E67" w:rsidP="00FD6E67">
      <w:pPr>
        <w:jc w:val="right"/>
      </w:pPr>
    </w:p>
    <w:p w:rsidR="00FD6E67" w:rsidRDefault="00FD6E67" w:rsidP="00FD6E67">
      <w:r>
        <w:t xml:space="preserve">Dotyczy: modyfikacji specyfikacji istotnych warunków zamówienia w postępowaniu pn.: </w:t>
      </w:r>
    </w:p>
    <w:p w:rsidR="00FD6E67" w:rsidRDefault="00FD6E67" w:rsidP="00FD6E67">
      <w:r>
        <w:rPr>
          <w:b/>
          <w:bCs/>
        </w:rPr>
        <w:t>           </w:t>
      </w:r>
      <w:r w:rsidR="00422CE1">
        <w:rPr>
          <w:b/>
          <w:bCs/>
        </w:rPr>
        <w:t xml:space="preserve">     </w:t>
      </w:r>
      <w:r>
        <w:rPr>
          <w:b/>
          <w:bCs/>
        </w:rPr>
        <w:t> „Modernizacja OŚK Zdroje” – Etap II</w:t>
      </w:r>
    </w:p>
    <w:p w:rsidR="00FD6E67" w:rsidRDefault="00FD6E67" w:rsidP="00FD6E67">
      <w:pPr>
        <w:ind w:left="993" w:hanging="993"/>
      </w:pPr>
    </w:p>
    <w:p w:rsidR="00FD6E67" w:rsidRDefault="00FD6E67" w:rsidP="00FD6E67">
      <w:pPr>
        <w:jc w:val="both"/>
      </w:pPr>
      <w:r>
        <w:t>Zamawiający na podstawie art. 38 ust. 4 ustawy z dnia 29 stycznia 2004 r. Prawo zamówień publicznych (</w:t>
      </w:r>
      <w:proofErr w:type="spellStart"/>
      <w:r>
        <w:t>t.j</w:t>
      </w:r>
      <w:proofErr w:type="spellEnd"/>
      <w:r>
        <w:t>. Dz. U. z 2015 r. poz. 2164 ze zm.) dokonuje modyfikacji specyfikacji istotnych warunków zamówienia w następującym zakresie:</w:t>
      </w:r>
    </w:p>
    <w:p w:rsidR="00FD6E67" w:rsidRPr="00855073" w:rsidRDefault="00FD6E67" w:rsidP="00855073">
      <w:pPr>
        <w:pStyle w:val="Standard"/>
        <w:numPr>
          <w:ilvl w:val="0"/>
          <w:numId w:val="14"/>
        </w:numPr>
        <w:spacing w:before="120"/>
        <w:rPr>
          <w:b/>
        </w:rPr>
      </w:pPr>
      <w:r w:rsidRPr="00855073">
        <w:rPr>
          <w:b/>
        </w:rPr>
        <w:t xml:space="preserve">W </w:t>
      </w:r>
      <w:r w:rsidR="00422CE1" w:rsidRPr="00855073">
        <w:rPr>
          <w:b/>
        </w:rPr>
        <w:t xml:space="preserve">załączniku nr 3 do SIWZ w Specyfikacji Technicznej ST-05.03 </w:t>
      </w:r>
      <w:r w:rsidR="00855073">
        <w:rPr>
          <w:b/>
        </w:rPr>
        <w:t xml:space="preserve">- </w:t>
      </w:r>
      <w:r w:rsidR="00422CE1" w:rsidRPr="00855073">
        <w:rPr>
          <w:b/>
        </w:rPr>
        <w:t xml:space="preserve">Roboty Rozruchowe w pkt. 5.9.8 jest nadane nowe brzmienie </w:t>
      </w:r>
      <w:r w:rsidRPr="00855073">
        <w:rPr>
          <w:b/>
        </w:rPr>
        <w:t xml:space="preserve"> 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JEST</w:t>
      </w:r>
    </w:p>
    <w:p w:rsidR="00855073" w:rsidRPr="008939C0" w:rsidRDefault="00855073" w:rsidP="00E56D75">
      <w:pPr>
        <w:spacing w:before="120"/>
        <w:jc w:val="both"/>
        <w:rPr>
          <w:rFonts w:cs="Arial"/>
        </w:rPr>
      </w:pPr>
      <w:r w:rsidRPr="008939C0">
        <w:rPr>
          <w:rFonts w:cs="Arial"/>
        </w:rPr>
        <w:t xml:space="preserve">Ogólna instrukcja </w:t>
      </w:r>
      <w:proofErr w:type="spellStart"/>
      <w:r w:rsidRPr="008939C0">
        <w:rPr>
          <w:rFonts w:cs="Arial"/>
        </w:rPr>
        <w:t>obsługi</w:t>
      </w:r>
      <w:proofErr w:type="spellEnd"/>
      <w:r w:rsidRPr="008939C0">
        <w:rPr>
          <w:rFonts w:cs="Arial"/>
        </w:rPr>
        <w:t xml:space="preserve"> powinna stanowić zbiór zasad </w:t>
      </w:r>
      <w:proofErr w:type="spellStart"/>
      <w:r w:rsidRPr="008939C0">
        <w:rPr>
          <w:rFonts w:cs="Arial"/>
        </w:rPr>
        <w:t>obsługi</w:t>
      </w:r>
      <w:proofErr w:type="spellEnd"/>
      <w:r w:rsidRPr="008939C0">
        <w:rPr>
          <w:rFonts w:cs="Arial"/>
        </w:rPr>
        <w:t xml:space="preserve"> oczyszczalni jako całości jak i w odniesieniu do poszczególnych obiektów i urządzeń. Instrukcja ta winna być opracowana przez Wykonawcę w oparciu m.in. o Dokumentację Projektową jak i doświadczenia uzyskane w czasie rozruchu. Instrukcja winna zawierać następujące elementy: </w:t>
      </w:r>
    </w:p>
    <w:p w:rsidR="00855073" w:rsidRPr="008939C0" w:rsidRDefault="00855073" w:rsidP="00855073">
      <w:pPr>
        <w:numPr>
          <w:ilvl w:val="0"/>
          <w:numId w:val="10"/>
        </w:numPr>
        <w:spacing w:before="120"/>
        <w:jc w:val="both"/>
        <w:rPr>
          <w:rFonts w:cs="Arial"/>
        </w:rPr>
      </w:pPr>
      <w:r w:rsidRPr="008939C0">
        <w:rPr>
          <w:rFonts w:cs="Arial"/>
        </w:rPr>
        <w:t xml:space="preserve">stronę tytułową,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spis treści z numeracją stron,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karta weryfikacji,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oświadczenie o przeszkoleniu, 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przeznaczenie obiektu, wymogi dla ścieków,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układ technologiczny oczyszczalni,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przebieg procesu oczyszczania ścieków na oczyszczalni,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przebieg procesu przeróbki osadów na oczyszczalni,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typowe zakłócenia w pracy urządzeń,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przeglądy, remonty i konserwacje,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konserwacja maszyn i urządzeń,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konserwacja antykorozyjna,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diagnozowanie napraw,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naprawy okresowe,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wymiana urządzeń,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eksploatacja w okresie zimowym,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kontrola laboratoryjna,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wymagania dotyczące ochrony przed porażeniem, pożarem oraz w zakresie bezpieczeństwa </w:t>
      </w:r>
      <w:proofErr w:type="spellStart"/>
      <w:r w:rsidRPr="008939C0">
        <w:rPr>
          <w:rFonts w:cs="Arial"/>
        </w:rPr>
        <w:t>obsługi</w:t>
      </w:r>
      <w:proofErr w:type="spellEnd"/>
      <w:r w:rsidRPr="008939C0">
        <w:rPr>
          <w:rFonts w:cs="Arial"/>
        </w:rPr>
        <w:t xml:space="preserve"> obiektów oczyszczalni,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zasady postępowania i wymagania dotyczące ochrony przed pożarem oraz telefony alarmowe,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wnioski i uwagi ogólne,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imię i nazwisko osoby opracowującej,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imię i nazwisko osoby zatwierdzającej, </w:t>
      </w:r>
    </w:p>
    <w:p w:rsidR="00855073" w:rsidRPr="008939C0" w:rsidRDefault="00855073" w:rsidP="00855073">
      <w:pPr>
        <w:numPr>
          <w:ilvl w:val="0"/>
          <w:numId w:val="10"/>
        </w:numPr>
        <w:jc w:val="both"/>
        <w:rPr>
          <w:rFonts w:cs="Arial"/>
        </w:rPr>
      </w:pPr>
      <w:r w:rsidRPr="008939C0">
        <w:rPr>
          <w:rFonts w:cs="Arial"/>
        </w:rPr>
        <w:t xml:space="preserve">data opracowania. 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POWINNO BYĆ</w:t>
      </w:r>
    </w:p>
    <w:p w:rsidR="00422CE1" w:rsidRDefault="00422CE1" w:rsidP="00855073">
      <w:pPr>
        <w:spacing w:before="120"/>
      </w:pPr>
      <w:r w:rsidRPr="000247C7">
        <w:t xml:space="preserve">Ogólna instrukcja </w:t>
      </w:r>
      <w:proofErr w:type="spellStart"/>
      <w:r w:rsidRPr="000247C7">
        <w:t>obsługi</w:t>
      </w:r>
      <w:proofErr w:type="spellEnd"/>
      <w:r w:rsidRPr="000247C7">
        <w:t xml:space="preserve"> powinna stanowić zbiór zasad </w:t>
      </w:r>
      <w:proofErr w:type="spellStart"/>
      <w:r w:rsidRPr="000247C7">
        <w:t>obsługi</w:t>
      </w:r>
      <w:proofErr w:type="spellEnd"/>
      <w:r w:rsidRPr="000247C7">
        <w:t xml:space="preserve"> oczyszczalni jako całości</w:t>
      </w:r>
      <w:r>
        <w:t xml:space="preserve"> jak i w odniesieniu do poszczególnych obiektów i urządzeń.</w:t>
      </w:r>
      <w:r w:rsidRPr="000247C7">
        <w:t>.</w:t>
      </w:r>
    </w:p>
    <w:p w:rsidR="00422CE1" w:rsidRPr="000247C7" w:rsidRDefault="00422CE1" w:rsidP="00855073">
      <w:pPr>
        <w:spacing w:before="120"/>
      </w:pPr>
      <w:r w:rsidRPr="000247C7">
        <w:t>Ogólna i</w:t>
      </w:r>
      <w:r>
        <w:t xml:space="preserve">nstrukcja </w:t>
      </w:r>
      <w:proofErr w:type="spellStart"/>
      <w:r>
        <w:t>obsługi</w:t>
      </w:r>
      <w:proofErr w:type="spellEnd"/>
      <w:r>
        <w:t xml:space="preserve"> powinna </w:t>
      </w:r>
      <w:r w:rsidRPr="000247C7">
        <w:t>zawierać następujące elementy</w:t>
      </w:r>
      <w:r>
        <w:t xml:space="preserve"> i być opracowana dla całej oczyszczalni</w:t>
      </w:r>
      <w:r w:rsidRPr="000247C7">
        <w:t xml:space="preserve">: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lastRenderedPageBreak/>
        <w:t xml:space="preserve">stronę tytułową,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spis treści z numeracją stron,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oświadczenie o przeszkoleniu, 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przeznaczenie obiektu, wymogi dla ścieków,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układ technologiczny oczyszczalni,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przebieg procesu oczyszczania ścieków na oczyszczalni,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przebieg procesu przeróbki osadów na oczyszczalni,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eksploatacja w okresie zimowym,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kontrola laboratoryjna,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wymagania dotyczące ochrony przed porażeniem, pożarem oraz w zakresie bezpieczeństwa </w:t>
      </w:r>
      <w:proofErr w:type="spellStart"/>
      <w:r w:rsidRPr="000247C7">
        <w:t>obsługi</w:t>
      </w:r>
      <w:proofErr w:type="spellEnd"/>
      <w:r w:rsidRPr="000247C7">
        <w:t xml:space="preserve"> obiektów oczyszczalni, </w:t>
      </w:r>
    </w:p>
    <w:p w:rsidR="00422CE1" w:rsidRDefault="00422CE1" w:rsidP="00855073">
      <w:pPr>
        <w:numPr>
          <w:ilvl w:val="0"/>
          <w:numId w:val="10"/>
        </w:numPr>
        <w:jc w:val="both"/>
      </w:pPr>
      <w:r w:rsidRPr="000247C7">
        <w:t xml:space="preserve">zasady postępowania i wymagania dotyczące ochrony przed pożarem oraz telefony alarmowe,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>
        <w:t>zapobieganie nieszczęśliwym wypadkom, ochrona pracowników, higiena pracy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wnioski i uwagi ogólne,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imię i nazwisko osoby opracowującej,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imię i nazwisko osoby zatwierdzającej,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data opracowania. </w:t>
      </w:r>
    </w:p>
    <w:p w:rsidR="00422CE1" w:rsidRPr="000247C7" w:rsidRDefault="00422CE1" w:rsidP="00855073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247C7">
        <w:rPr>
          <w:rFonts w:ascii="Times New Roman" w:hAnsi="Times New Roman"/>
          <w:sz w:val="24"/>
          <w:szCs w:val="24"/>
        </w:rPr>
        <w:t xml:space="preserve">nstrukcje dla poszczególnych obiektów </w:t>
      </w:r>
      <w:r>
        <w:t>winny</w:t>
      </w:r>
      <w:r w:rsidRPr="000247C7">
        <w:t xml:space="preserve"> zawierać</w:t>
      </w:r>
      <w:r w:rsidRPr="000247C7">
        <w:rPr>
          <w:rFonts w:ascii="Times New Roman" w:hAnsi="Times New Roman"/>
          <w:sz w:val="24"/>
          <w:szCs w:val="24"/>
        </w:rPr>
        <w:t xml:space="preserve"> co najmniej: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>informacje ogólne o obiekcie,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>wykaz dostarczonych urządzeń wraz z nazwą producenta oraz właściwym oznakowaniem, modelem urządzenia i numerem katalogowym,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>wykaz rysunków przedstawiających rozmieszczenie głównych urządzeń tj. pomp, zasuw itp. wraz z instrukcjami demontażu,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>schematy powykonawcze wszystkich połączeń elektrycznych pomiędzy pulpitem operatora, sterownikami programowalnymi i zainstalowanymi obciążeniami,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>dokumentacja oprogramowania komputerów,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instrukcja </w:t>
      </w:r>
      <w:proofErr w:type="spellStart"/>
      <w:r w:rsidRPr="000247C7">
        <w:t>obsługi</w:t>
      </w:r>
      <w:proofErr w:type="spellEnd"/>
      <w:r w:rsidRPr="000247C7">
        <w:t xml:space="preserve"> wszystkich wykonywanych elementów robót,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wykaz zalecanych smarów i ich równoważników 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typowe zakłócenia w pracy urządzeń, </w:t>
      </w:r>
    </w:p>
    <w:p w:rsidR="00422CE1" w:rsidRDefault="00422CE1" w:rsidP="00855073">
      <w:pPr>
        <w:numPr>
          <w:ilvl w:val="0"/>
          <w:numId w:val="10"/>
        </w:numPr>
        <w:jc w:val="both"/>
      </w:pPr>
      <w:r w:rsidRPr="000247C7">
        <w:t xml:space="preserve">przeglądy, remonty i konserwacje,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>
        <w:t>wykaz czci zamiennych i zużywających się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konserwacja antykorozyjna, </w:t>
      </w:r>
    </w:p>
    <w:p w:rsidR="00422CE1" w:rsidRPr="00586D50" w:rsidRDefault="00422CE1" w:rsidP="00855073">
      <w:pPr>
        <w:numPr>
          <w:ilvl w:val="0"/>
          <w:numId w:val="10"/>
        </w:numPr>
        <w:jc w:val="both"/>
      </w:pPr>
      <w:r w:rsidRPr="000247C7">
        <w:t xml:space="preserve">diagnozowanie napraw, </w:t>
      </w:r>
      <w:r w:rsidRPr="00586D50">
        <w:t xml:space="preserve">naprawy okresowe,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eksploatacja w okresie zimowym,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wymagania dotyczące ochrony przed porażeniem, pożarem oraz w zakresie bezpieczeństwa </w:t>
      </w:r>
      <w:proofErr w:type="spellStart"/>
      <w:r w:rsidRPr="000247C7">
        <w:t>obsługi</w:t>
      </w:r>
      <w:proofErr w:type="spellEnd"/>
      <w:r w:rsidRPr="000247C7">
        <w:t xml:space="preserve"> obiektów oczyszczalni, </w:t>
      </w:r>
    </w:p>
    <w:p w:rsidR="00422CE1" w:rsidRDefault="00422CE1" w:rsidP="00855073">
      <w:pPr>
        <w:numPr>
          <w:ilvl w:val="0"/>
          <w:numId w:val="10"/>
        </w:numPr>
        <w:jc w:val="both"/>
      </w:pPr>
      <w:r w:rsidRPr="000247C7">
        <w:t xml:space="preserve">zasady postępowania i wymagania dotyczące ochrony przed pożarem oraz telefony alarmowe,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>
        <w:t>zapobieganie nieszczęśliwym wypadkom, ochrona pracowników i higiena pracy.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wnioski i uwagi ogólne,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imię i nazwisko osoby opracowującej, </w:t>
      </w:r>
    </w:p>
    <w:p w:rsidR="00422CE1" w:rsidRPr="000247C7" w:rsidRDefault="00422CE1" w:rsidP="00855073">
      <w:pPr>
        <w:numPr>
          <w:ilvl w:val="0"/>
          <w:numId w:val="10"/>
        </w:numPr>
        <w:jc w:val="both"/>
      </w:pPr>
      <w:r w:rsidRPr="000247C7">
        <w:t xml:space="preserve">imię i nazwisko osoby zatwierdzającej, </w:t>
      </w:r>
    </w:p>
    <w:p w:rsidR="00422CE1" w:rsidRPr="00E57FAB" w:rsidRDefault="00422CE1" w:rsidP="00855073">
      <w:pPr>
        <w:numPr>
          <w:ilvl w:val="0"/>
          <w:numId w:val="10"/>
        </w:numPr>
        <w:jc w:val="both"/>
      </w:pPr>
      <w:r w:rsidRPr="000247C7">
        <w:t xml:space="preserve">data opracowania. </w:t>
      </w:r>
    </w:p>
    <w:p w:rsidR="00422CE1" w:rsidRDefault="00422CE1" w:rsidP="00855073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47C7">
        <w:rPr>
          <w:rFonts w:ascii="Times New Roman" w:hAnsi="Times New Roman"/>
          <w:sz w:val="24"/>
          <w:szCs w:val="24"/>
        </w:rPr>
        <w:t>Instrukcje winne być opracowane przez Wykonawcę w oparciu m.in. o Dokumentację Projektową</w:t>
      </w:r>
      <w:r>
        <w:rPr>
          <w:rFonts w:ascii="Times New Roman" w:hAnsi="Times New Roman"/>
          <w:sz w:val="24"/>
          <w:szCs w:val="24"/>
        </w:rPr>
        <w:t xml:space="preserve">, Instrukcje eksploatacji oczyszczalni będące w posiadaniu Zamawiającego, </w:t>
      </w:r>
      <w:r w:rsidRPr="000247C7">
        <w:rPr>
          <w:rFonts w:ascii="Times New Roman" w:hAnsi="Times New Roman"/>
          <w:sz w:val="24"/>
          <w:szCs w:val="24"/>
        </w:rPr>
        <w:t xml:space="preserve"> jak i doświadczenia uzyskane w czasie rozruchu.</w:t>
      </w:r>
    </w:p>
    <w:p w:rsidR="00855073" w:rsidRPr="000247C7" w:rsidRDefault="00855073" w:rsidP="00855073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2CE1" w:rsidRPr="00855073" w:rsidRDefault="00422CE1" w:rsidP="00855073">
      <w:pPr>
        <w:pStyle w:val="Standard"/>
        <w:numPr>
          <w:ilvl w:val="0"/>
          <w:numId w:val="14"/>
        </w:numPr>
        <w:spacing w:before="120"/>
        <w:rPr>
          <w:b/>
        </w:rPr>
      </w:pPr>
      <w:r w:rsidRPr="00855073">
        <w:rPr>
          <w:b/>
        </w:rPr>
        <w:lastRenderedPageBreak/>
        <w:t xml:space="preserve">W załączniku nr 3 do SIWZ w Specyfikacji Technicznej ST-05.01 </w:t>
      </w:r>
      <w:r w:rsidR="00855073">
        <w:rPr>
          <w:b/>
        </w:rPr>
        <w:t xml:space="preserve">- </w:t>
      </w:r>
      <w:r w:rsidRPr="00855073">
        <w:rPr>
          <w:b/>
        </w:rPr>
        <w:t>Wyposażenie Technologiczne w pkt. 5.17.2.29.7 jest nadane nowe brzmienie</w:t>
      </w:r>
      <w:r w:rsidR="00855073">
        <w:rPr>
          <w:b/>
        </w:rPr>
        <w:t>:</w:t>
      </w:r>
      <w:r w:rsidRPr="00855073">
        <w:rPr>
          <w:b/>
        </w:rPr>
        <w:t xml:space="preserve">  </w:t>
      </w:r>
    </w:p>
    <w:p w:rsidR="00422CE1" w:rsidRPr="00FD6E67" w:rsidRDefault="00422CE1" w:rsidP="00422CE1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JEST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before="120" w:after="0" w:line="240" w:lineRule="auto"/>
        <w:ind w:hanging="357"/>
        <w:jc w:val="both"/>
      </w:pPr>
      <w:r w:rsidRPr="00AC3BDE">
        <w:t xml:space="preserve">konstrukcja – centryczna, dwukierunkowa oraz regulacyjna o liniowej charakterystyce przepływu;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w wykonaniu standardowym i do zabudowy w gruncie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figura – </w:t>
      </w:r>
      <w:proofErr w:type="spellStart"/>
      <w:r w:rsidRPr="00AC3BDE">
        <w:t>międzykołnierzowa</w:t>
      </w:r>
      <w:proofErr w:type="spellEnd"/>
      <w:r w:rsidRPr="00AC3BDE">
        <w:t xml:space="preserve">, krótka – wg normy PN-EN 558, (DIN 3202-K1)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proofErr w:type="spellStart"/>
      <w:r w:rsidRPr="00AC3BDE">
        <w:t>owiercenie</w:t>
      </w:r>
      <w:proofErr w:type="spellEnd"/>
      <w:r w:rsidRPr="00AC3BDE">
        <w:t xml:space="preserve"> kołnierzy - wg normy PN-EN 1092-2;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korpus – z żeliwa sferoidalnego min. GGG-40, pokrytego powłoką epoksydową, o min. grubości 250 µm;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uszczelnienie obwodowe przepustnicy – z gumy EPDM, wulkanizowane bezpośrednio do korpusu i kołnierzy;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dysk: </w:t>
      </w:r>
    </w:p>
    <w:p w:rsidR="00855073" w:rsidRPr="00AC3BDE" w:rsidRDefault="00855073" w:rsidP="00855073">
      <w:pPr>
        <w:pStyle w:val="Akapitzlist"/>
        <w:numPr>
          <w:ilvl w:val="1"/>
          <w:numId w:val="15"/>
        </w:numPr>
        <w:spacing w:after="0" w:line="240" w:lineRule="auto"/>
        <w:ind w:hanging="357"/>
        <w:jc w:val="both"/>
      </w:pPr>
      <w:r w:rsidRPr="00AC3BDE">
        <w:t xml:space="preserve">do DN200 ze stali k/o, </w:t>
      </w:r>
    </w:p>
    <w:p w:rsidR="00855073" w:rsidRPr="00AC3BDE" w:rsidRDefault="00855073" w:rsidP="00855073">
      <w:pPr>
        <w:pStyle w:val="Akapitzlist"/>
        <w:numPr>
          <w:ilvl w:val="1"/>
          <w:numId w:val="16"/>
        </w:numPr>
        <w:spacing w:after="0" w:line="240" w:lineRule="auto"/>
        <w:ind w:hanging="357"/>
        <w:jc w:val="both"/>
      </w:pPr>
      <w:r w:rsidRPr="00AC3BDE">
        <w:t xml:space="preserve">opow. DN200 z żeliwa sferoidalnego GGG-40, epoksydowany lub powłoka Rilsan;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połączenie dysku z wałkiem wzmocnione za pomocą sworzni stożkowych;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wałek dysku: dwudzielny, łożyskowany w korpusie;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>łożyskowanie wałka – łożyska ślizgowe; tuleja ze stali nierdzewnej powleczona PTFE,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uszczelnienie wałka – o-ringi z gumy EPDM;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przekładnia ślimakowa do przepustnicy: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konstrukcja - regulacyjna (mechanizmy z brązu),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przystosowana do montażu kółka ręcznego i napędu elektrycznego,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wodoodporna, bezobsługowa, samoblokująca w każdym położeniu,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wyposażona w mechaniczne, krańcowe ograniczniki ruchu,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stopień szczelności min. IP 68; </w:t>
      </w:r>
    </w:p>
    <w:p w:rsidR="00855073" w:rsidRPr="00AC3BDE" w:rsidRDefault="00855073" w:rsidP="00855073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</w:pPr>
      <w:r w:rsidRPr="00AC3BDE">
        <w:t xml:space="preserve">kółko przekładni – wykonanie odlew żeliwny pełny - epoksydowany gr. min 125um </w:t>
      </w:r>
    </w:p>
    <w:p w:rsidR="00422CE1" w:rsidRDefault="00422CE1" w:rsidP="00422CE1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POWINNO BYĆ</w:t>
      </w:r>
    </w:p>
    <w:p w:rsidR="00422CE1" w:rsidRDefault="00422CE1" w:rsidP="00855073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dla przepustnic: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konstrukcja – centryczna, dwukierunkowa oraz regulacyjna o liniowej charakterystyce przepływu;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w wykonaniu standardowym i do zabudowy w gruncie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figura – </w:t>
      </w:r>
      <w:proofErr w:type="spellStart"/>
      <w:r w:rsidRPr="003B2F6E">
        <w:rPr>
          <w:rFonts w:ascii="Times New Roman" w:hAnsi="Times New Roman"/>
          <w:sz w:val="24"/>
          <w:szCs w:val="24"/>
        </w:rPr>
        <w:t>międzykołnierzowa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, krótka – wg normy PN-EN 558, (DIN 3202-K1)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F6E">
        <w:rPr>
          <w:rFonts w:ascii="Times New Roman" w:hAnsi="Times New Roman"/>
          <w:sz w:val="24"/>
          <w:szCs w:val="24"/>
        </w:rPr>
        <w:t>owiercenie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 kołnierzy - wg normy PN-EN 1092-2;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korpus – z żeliwa sferoidalnego min. GGG-40, pokrytego powłoką epoksydową, o min. grubości 250 µm;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uszczelnienie obwodowe przepustnicy – z gumy EPDM, wulkanizowane bezpośrednio do korpusu i kołnierzy;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dysk: </w:t>
      </w:r>
    </w:p>
    <w:p w:rsidR="00422CE1" w:rsidRPr="003B2F6E" w:rsidRDefault="00422CE1" w:rsidP="00855073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do DN200 ze stali k/o, </w:t>
      </w:r>
    </w:p>
    <w:p w:rsidR="00422CE1" w:rsidRPr="003B2F6E" w:rsidRDefault="00422CE1" w:rsidP="00855073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opow. DN200 z żeliwa sferoidalnego GGG-40, epoksydowany lub powłoka Rilsan;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połączenie dysku z wałkiem wzmocnione za pomocą sworzni stożkowych;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wałek dysku: dwudzielny, łożyskowany w korpusie;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łożyskowanie wałka – łożyska ślizgowe; tuleja ze stali nierdzewnej powleczona PTFE,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uszczelnienie wałka – o-ringi z gumy EPDM;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przekładnia ślimakowa do przepustnicy: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konstrukcja - regulacyjna (mechanizmy z brązu),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przystosowana do montażu kółka ręcznego i napędu elektrycznego,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lastRenderedPageBreak/>
        <w:t xml:space="preserve">wodoodporna, bezobsługowa, samoblokująca w każdym położeniu,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wyposażona w mechaniczne, krańcowe ograniczniki ruchu,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stopień szczelności min. IP 68; </w:t>
      </w:r>
    </w:p>
    <w:p w:rsidR="00422CE1" w:rsidRPr="003B2F6E" w:rsidRDefault="00422CE1" w:rsidP="00E56D75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kółko przekładni – wykonanie odlew żeliwny pełny - epoksydowany gr. min 125um </w:t>
      </w:r>
    </w:p>
    <w:p w:rsidR="00422CE1" w:rsidRDefault="00422CE1" w:rsidP="00E56D7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  <w:u w:val="single"/>
        </w:rPr>
        <w:t>Wymagania dla przepustnic regulacyjnych</w:t>
      </w:r>
      <w:r>
        <w:rPr>
          <w:rFonts w:ascii="Times New Roman" w:hAnsi="Times New Roman"/>
          <w:sz w:val="24"/>
          <w:szCs w:val="24"/>
        </w:rPr>
        <w:t>:</w:t>
      </w:r>
    </w:p>
    <w:p w:rsidR="00422CE1" w:rsidRPr="003B2F6E" w:rsidRDefault="00422CE1" w:rsidP="008550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Należy zastosować przepustnice </w:t>
      </w:r>
      <w:proofErr w:type="spellStart"/>
      <w:r w:rsidRPr="003B2F6E">
        <w:rPr>
          <w:rFonts w:ascii="Times New Roman" w:hAnsi="Times New Roman"/>
          <w:sz w:val="24"/>
          <w:szCs w:val="24"/>
        </w:rPr>
        <w:t>międzykołnierzowe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 przystosowane do współpracy z napędem regulacyjnym o parametrach :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Korpus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 xml:space="preserve">żeliwo szare GG-25 lub GGG-40.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Manszeta/uszczelnienie  </w:t>
      </w:r>
      <w:r w:rsidRPr="003B2F6E">
        <w:rPr>
          <w:rFonts w:ascii="Times New Roman" w:hAnsi="Times New Roman"/>
          <w:sz w:val="24"/>
          <w:szCs w:val="24"/>
        </w:rPr>
        <w:tab/>
        <w:t xml:space="preserve">EPDM czarny, wymienne 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Łożyska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proofErr w:type="spellStart"/>
      <w:r w:rsidRPr="003B2F6E">
        <w:rPr>
          <w:rFonts w:ascii="Times New Roman" w:hAnsi="Times New Roman"/>
          <w:sz w:val="24"/>
          <w:szCs w:val="24"/>
        </w:rPr>
        <w:t>mosiądź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 MS58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Dysk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stal nierdzewna min. 1.4404 (AISI316L)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Wał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stal nierdzewna min. 1.4404 (AISI316L)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O-ring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NBR lub EPDM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Tuleja  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stal nierdzewna min. 1.4301 (AISI304)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Pokrywa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żeliwo szare GG-25 lub GGG-40.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Pozostałe elementy 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stal nierdzewna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Ciśnienie</w:t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</w:r>
      <w:r w:rsidRPr="003B2F6E">
        <w:rPr>
          <w:rFonts w:ascii="Times New Roman" w:hAnsi="Times New Roman"/>
          <w:sz w:val="24"/>
          <w:szCs w:val="24"/>
        </w:rPr>
        <w:tab/>
        <w:t>PN10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Wskaźnik położenia dysku przepustnicy.</w:t>
      </w:r>
    </w:p>
    <w:p w:rsidR="00422CE1" w:rsidRPr="003B2F6E" w:rsidRDefault="00422CE1" w:rsidP="0085507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>Pokrycie antykorozyjne (wewnątrz i na zewnątrz) poprzez pokrywanie epoksydem min. grubość warstwy 250 mikronów, odporność n</w:t>
      </w:r>
      <w:r>
        <w:rPr>
          <w:rFonts w:ascii="Times New Roman" w:hAnsi="Times New Roman"/>
          <w:sz w:val="24"/>
          <w:szCs w:val="24"/>
        </w:rPr>
        <w:t>a przebicie metodą iskrową 3000</w:t>
      </w:r>
      <w:r w:rsidRPr="003B2F6E">
        <w:rPr>
          <w:rFonts w:ascii="Times New Roman" w:hAnsi="Times New Roman"/>
          <w:sz w:val="24"/>
          <w:szCs w:val="24"/>
        </w:rPr>
        <w:t>V</w:t>
      </w:r>
    </w:p>
    <w:p w:rsidR="00422CE1" w:rsidRPr="003B2F6E" w:rsidRDefault="00422CE1" w:rsidP="00E56D75">
      <w:pPr>
        <w:pStyle w:val="Akapitzlist"/>
        <w:numPr>
          <w:ilvl w:val="0"/>
          <w:numId w:val="13"/>
        </w:numPr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F6E">
        <w:rPr>
          <w:rFonts w:ascii="Times New Roman" w:hAnsi="Times New Roman"/>
          <w:sz w:val="24"/>
          <w:szCs w:val="24"/>
        </w:rPr>
        <w:t>Owiercenie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 zgodnie z PN-EN 1092-2.</w:t>
      </w:r>
    </w:p>
    <w:p w:rsidR="00422CE1" w:rsidRPr="0066783E" w:rsidRDefault="00422CE1" w:rsidP="00855073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F6E">
        <w:rPr>
          <w:rFonts w:ascii="Times New Roman" w:hAnsi="Times New Roman"/>
          <w:sz w:val="24"/>
          <w:szCs w:val="24"/>
        </w:rPr>
        <w:t xml:space="preserve">Przepustnica winna być dostarczona z napędem jako komplet. Należy zastosować napęd wieloobrotowy przystosowany do ciągłej regulacji z elektronicznym nadajnikiem położenia. Dla przepustnic powietrza przełożenie napędu winno zapewnić odpowiednio długi czas zamykania, zabezpieczający przed skokami ciśnienia w instalacji. Napęd winien być wyposażony w panel sterujący z wyświetlaczem umożliwiający konfigurację ustawień oraz pełną obsługę napędu. Napęd winien być wyposażony w moduł komunikacyjny </w:t>
      </w:r>
      <w:proofErr w:type="spellStart"/>
      <w:r w:rsidRPr="003B2F6E">
        <w:rPr>
          <w:rFonts w:ascii="Times New Roman" w:hAnsi="Times New Roman"/>
          <w:sz w:val="24"/>
          <w:szCs w:val="24"/>
        </w:rPr>
        <w:t>Profibus</w:t>
      </w:r>
      <w:proofErr w:type="spellEnd"/>
      <w:r w:rsidRPr="003B2F6E">
        <w:rPr>
          <w:rFonts w:ascii="Times New Roman" w:hAnsi="Times New Roman"/>
          <w:sz w:val="24"/>
          <w:szCs w:val="24"/>
        </w:rPr>
        <w:t xml:space="preserve"> do komunikacji z systemem sterowania. IP dobrane adekwatnie do warunków zamontowania.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22CE1" w:rsidRPr="00FD6E67" w:rsidRDefault="00422CE1" w:rsidP="00422CE1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22CE1" w:rsidRDefault="00422CE1" w:rsidP="00FD6E67">
      <w:pPr>
        <w:jc w:val="both"/>
      </w:pPr>
    </w:p>
    <w:p w:rsidR="00FD6E67" w:rsidRPr="00E56D75" w:rsidRDefault="00FD6E67" w:rsidP="00FD6E67">
      <w:pPr>
        <w:jc w:val="both"/>
        <w:rPr>
          <w:rFonts w:ascii="Times New Roman" w:hAnsi="Times New Roman"/>
          <w:b/>
          <w:sz w:val="24"/>
          <w:szCs w:val="24"/>
        </w:rPr>
      </w:pPr>
      <w:r w:rsidRPr="00E56D75">
        <w:rPr>
          <w:rFonts w:ascii="Times New Roman" w:hAnsi="Times New Roman"/>
          <w:b/>
          <w:sz w:val="24"/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FD6E67" w:rsidRDefault="00FD6E67" w:rsidP="00FD6E67">
      <w:pPr>
        <w:jc w:val="right"/>
        <w:rPr>
          <w:rFonts w:ascii="Arial" w:hAnsi="Arial" w:cs="Arial"/>
        </w:rPr>
      </w:pPr>
    </w:p>
    <w:p w:rsidR="00FD6E67" w:rsidRDefault="00FD6E67" w:rsidP="00FD6E67">
      <w:pPr>
        <w:rPr>
          <w:lang w:eastAsia="en-US"/>
        </w:rPr>
      </w:pPr>
    </w:p>
    <w:p w:rsidR="00FD6E67" w:rsidRDefault="00FD6E67" w:rsidP="00FD6E67">
      <w:pPr>
        <w:rPr>
          <w:lang w:eastAsia="en-US"/>
        </w:rPr>
      </w:pPr>
    </w:p>
    <w:p w:rsidR="00FD6E67" w:rsidRDefault="00FD6E67" w:rsidP="00FD6E67">
      <w:pPr>
        <w:rPr>
          <w:lang w:eastAsia="en-US"/>
        </w:rPr>
      </w:pPr>
    </w:p>
    <w:p w:rsidR="00FA156E" w:rsidRPr="004003F4" w:rsidRDefault="00FA156E" w:rsidP="004003F4"/>
    <w:sectPr w:rsidR="00FA156E" w:rsidRPr="004003F4" w:rsidSect="006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151"/>
    <w:multiLevelType w:val="hybridMultilevel"/>
    <w:tmpl w:val="AC6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67E"/>
    <w:multiLevelType w:val="hybridMultilevel"/>
    <w:tmpl w:val="6A50EA58"/>
    <w:lvl w:ilvl="0" w:tplc="E1700A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ADE"/>
    <w:multiLevelType w:val="hybridMultilevel"/>
    <w:tmpl w:val="2C0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293"/>
    <w:multiLevelType w:val="hybridMultilevel"/>
    <w:tmpl w:val="A8F6576E"/>
    <w:lvl w:ilvl="0" w:tplc="DE20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17CCB"/>
    <w:multiLevelType w:val="hybridMultilevel"/>
    <w:tmpl w:val="561A989E"/>
    <w:lvl w:ilvl="0" w:tplc="2CCA92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781621A"/>
    <w:multiLevelType w:val="hybridMultilevel"/>
    <w:tmpl w:val="F3DE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12011"/>
    <w:multiLevelType w:val="hybridMultilevel"/>
    <w:tmpl w:val="BA96BB40"/>
    <w:lvl w:ilvl="0" w:tplc="DE20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3897"/>
    <w:multiLevelType w:val="multilevel"/>
    <w:tmpl w:val="6E0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0">
    <w:nsid w:val="4C5F2C29"/>
    <w:multiLevelType w:val="multilevel"/>
    <w:tmpl w:val="A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D7621"/>
    <w:multiLevelType w:val="multilevel"/>
    <w:tmpl w:val="1E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55BDB"/>
    <w:multiLevelType w:val="hybridMultilevel"/>
    <w:tmpl w:val="778E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0155E"/>
    <w:multiLevelType w:val="hybridMultilevel"/>
    <w:tmpl w:val="778E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17BB5"/>
    <w:multiLevelType w:val="multilevel"/>
    <w:tmpl w:val="545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0CE"/>
    <w:rsid w:val="00096689"/>
    <w:rsid w:val="000D2387"/>
    <w:rsid w:val="00135FC1"/>
    <w:rsid w:val="001520BE"/>
    <w:rsid w:val="00297E8C"/>
    <w:rsid w:val="00305C1C"/>
    <w:rsid w:val="0030775F"/>
    <w:rsid w:val="00384E22"/>
    <w:rsid w:val="0039145C"/>
    <w:rsid w:val="003C62BE"/>
    <w:rsid w:val="004003F4"/>
    <w:rsid w:val="00422CE1"/>
    <w:rsid w:val="00457525"/>
    <w:rsid w:val="004B1199"/>
    <w:rsid w:val="005C64A7"/>
    <w:rsid w:val="00614B57"/>
    <w:rsid w:val="00620246"/>
    <w:rsid w:val="006575B2"/>
    <w:rsid w:val="006E32B4"/>
    <w:rsid w:val="006F434C"/>
    <w:rsid w:val="007557FB"/>
    <w:rsid w:val="007B72C0"/>
    <w:rsid w:val="00855073"/>
    <w:rsid w:val="008B21EF"/>
    <w:rsid w:val="008F5DA4"/>
    <w:rsid w:val="009110BA"/>
    <w:rsid w:val="00916024"/>
    <w:rsid w:val="0092012B"/>
    <w:rsid w:val="00963A5C"/>
    <w:rsid w:val="00985786"/>
    <w:rsid w:val="00A33C03"/>
    <w:rsid w:val="00A66E55"/>
    <w:rsid w:val="00AA4946"/>
    <w:rsid w:val="00AA4C21"/>
    <w:rsid w:val="00AD6468"/>
    <w:rsid w:val="00B33E2B"/>
    <w:rsid w:val="00B72788"/>
    <w:rsid w:val="00B840CE"/>
    <w:rsid w:val="00BB3779"/>
    <w:rsid w:val="00BD09C3"/>
    <w:rsid w:val="00CE7F52"/>
    <w:rsid w:val="00D10889"/>
    <w:rsid w:val="00E56D75"/>
    <w:rsid w:val="00E60261"/>
    <w:rsid w:val="00EB6DF7"/>
    <w:rsid w:val="00EF0E32"/>
    <w:rsid w:val="00F4299B"/>
    <w:rsid w:val="00FA156E"/>
    <w:rsid w:val="00FD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6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5DA4"/>
    <w:pPr>
      <w:spacing w:line="24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A156E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156E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DF7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6DF7"/>
    <w:rPr>
      <w:b/>
      <w:bCs/>
    </w:rPr>
  </w:style>
  <w:style w:type="paragraph" w:styleId="Nagwek">
    <w:name w:val="header"/>
    <w:basedOn w:val="Normalny"/>
    <w:link w:val="NagwekZnak"/>
    <w:rsid w:val="006E32B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E3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E32B4"/>
    <w:rPr>
      <w:color w:val="0000FF"/>
      <w:u w:val="single"/>
    </w:rPr>
  </w:style>
  <w:style w:type="paragraph" w:customStyle="1" w:styleId="Default">
    <w:name w:val="Default"/>
    <w:rsid w:val="006E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A5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963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63A5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5DA4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author2">
    <w:name w:val="author2"/>
    <w:basedOn w:val="Domylnaczcionkaakapitu"/>
    <w:rsid w:val="00EF0E32"/>
  </w:style>
  <w:style w:type="character" w:customStyle="1" w:styleId="mw-headline">
    <w:name w:val="mw-headline"/>
    <w:basedOn w:val="Domylnaczcionkaakapitu"/>
    <w:rsid w:val="00614B57"/>
  </w:style>
  <w:style w:type="character" w:customStyle="1" w:styleId="mw-editsection1">
    <w:name w:val="mw-editsection1"/>
    <w:basedOn w:val="Domylnaczcionkaakapitu"/>
    <w:rsid w:val="00614B57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614B57"/>
  </w:style>
  <w:style w:type="character" w:customStyle="1" w:styleId="mw-editsection-divider1">
    <w:name w:val="mw-editsection-divider1"/>
    <w:basedOn w:val="Domylnaczcionkaakapitu"/>
    <w:rsid w:val="00614B57"/>
    <w:rPr>
      <w:color w:val="54595D"/>
    </w:rPr>
  </w:style>
  <w:style w:type="character" w:customStyle="1" w:styleId="Nagwek1Znak">
    <w:name w:val="Nagłówek 1 Znak"/>
    <w:basedOn w:val="Domylnaczcionkaakapitu"/>
    <w:link w:val="Nagwek1"/>
    <w:uiPriority w:val="9"/>
    <w:rsid w:val="006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FD6E67"/>
    <w:pPr>
      <w:autoSpaceDN w:val="0"/>
      <w:ind w:left="833" w:hanging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1566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214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20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0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1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2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8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anddziel</dc:creator>
  <cp:lastModifiedBy>anddziel</cp:lastModifiedBy>
  <cp:revision>31</cp:revision>
  <cp:lastPrinted>2018-11-20T12:25:00Z</cp:lastPrinted>
  <dcterms:created xsi:type="dcterms:W3CDTF">2016-10-06T05:11:00Z</dcterms:created>
  <dcterms:modified xsi:type="dcterms:W3CDTF">2020-02-21T09:42:00Z</dcterms:modified>
</cp:coreProperties>
</file>