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F8A7A" w14:textId="032792AD" w:rsidR="00E8727B" w:rsidRPr="00B2443A" w:rsidRDefault="008E213D" w:rsidP="00186111">
      <w:pPr>
        <w:spacing w:line="276" w:lineRule="auto"/>
        <w:jc w:val="right"/>
        <w:rPr>
          <w:rFonts w:ascii="Verdana" w:hAnsi="Verdana"/>
          <w:b/>
          <w:color w:val="auto"/>
          <w:sz w:val="16"/>
          <w:szCs w:val="16"/>
        </w:rPr>
      </w:pPr>
      <w:r>
        <w:rPr>
          <w:rFonts w:ascii="Verdana" w:hAnsi="Verdana"/>
          <w:b/>
          <w:color w:val="auto"/>
          <w:sz w:val="16"/>
          <w:szCs w:val="16"/>
        </w:rPr>
        <w:t>Attachment no. 5</w:t>
      </w:r>
      <w:r w:rsidR="00E8727B" w:rsidRPr="00B2443A">
        <w:rPr>
          <w:rFonts w:ascii="Verdana" w:hAnsi="Verdana"/>
          <w:b/>
          <w:color w:val="auto"/>
          <w:sz w:val="16"/>
          <w:szCs w:val="16"/>
        </w:rPr>
        <w:t xml:space="preserve"> </w:t>
      </w:r>
    </w:p>
    <w:p w14:paraId="71504BA1" w14:textId="2DAA3325" w:rsidR="00E8727B" w:rsidRPr="000D390F" w:rsidRDefault="000D390F" w:rsidP="00186111">
      <w:pPr>
        <w:pStyle w:val="Akapitzlist"/>
        <w:spacing w:after="0" w:line="276" w:lineRule="auto"/>
        <w:ind w:left="567"/>
        <w:contextualSpacing w:val="0"/>
        <w:jc w:val="center"/>
        <w:rPr>
          <w:rFonts w:ascii="Verdana" w:eastAsia="Verdana" w:hAnsi="Verdana" w:cs="Times New Roman"/>
          <w:b/>
          <w:color w:val="auto"/>
          <w:sz w:val="16"/>
          <w:szCs w:val="16"/>
          <w:lang w:val="en-GB"/>
        </w:rPr>
      </w:pPr>
      <w:r w:rsidRPr="000D390F">
        <w:rPr>
          <w:rFonts w:ascii="Verdana" w:eastAsia="Verdana" w:hAnsi="Verdana" w:cs="Times New Roman"/>
          <w:b/>
          <w:color w:val="auto"/>
          <w:sz w:val="16"/>
          <w:szCs w:val="16"/>
          <w:lang w:val="en-GB"/>
        </w:rPr>
        <w:t>INFORMATION CLAUSE</w:t>
      </w:r>
      <w:r w:rsidR="00E8727B" w:rsidRPr="000D390F">
        <w:rPr>
          <w:rFonts w:ascii="Verdana" w:eastAsia="Verdana" w:hAnsi="Verdana" w:cs="Times New Roman"/>
          <w:b/>
          <w:color w:val="auto"/>
          <w:sz w:val="16"/>
          <w:szCs w:val="16"/>
          <w:lang w:val="en-GB"/>
        </w:rPr>
        <w:t xml:space="preserve"> </w:t>
      </w:r>
      <w:r w:rsidR="00E8727B" w:rsidRPr="000D390F">
        <w:rPr>
          <w:rFonts w:ascii="Verdana" w:eastAsia="Verdana" w:hAnsi="Verdana" w:cs="Times New Roman"/>
          <w:b/>
          <w:color w:val="auto"/>
          <w:sz w:val="16"/>
          <w:szCs w:val="16"/>
          <w:lang w:val="en-GB"/>
        </w:rPr>
        <w:br/>
      </w:r>
      <w:r w:rsidRPr="000D390F">
        <w:rPr>
          <w:rFonts w:ascii="Verdana" w:eastAsia="Verdana" w:hAnsi="Verdana" w:cs="Times New Roman"/>
          <w:b/>
          <w:color w:val="auto"/>
          <w:sz w:val="16"/>
          <w:szCs w:val="16"/>
          <w:lang w:val="en-GB"/>
        </w:rPr>
        <w:t xml:space="preserve">ON </w:t>
      </w:r>
      <w:r w:rsidRPr="000D390F">
        <w:rPr>
          <w:rFonts w:ascii="Verdana" w:eastAsia="Verdana" w:hAnsi="Verdana" w:cs="Times New Roman"/>
          <w:b/>
          <w:color w:val="auto"/>
          <w:sz w:val="16"/>
          <w:szCs w:val="16"/>
          <w:lang w:val="en-GB"/>
        </w:rPr>
        <w:t xml:space="preserve">PERSONAL DATA </w:t>
      </w:r>
      <w:r w:rsidRPr="000D390F">
        <w:rPr>
          <w:rFonts w:ascii="Verdana" w:eastAsia="Verdana" w:hAnsi="Verdana" w:cs="Times New Roman"/>
          <w:b/>
          <w:color w:val="auto"/>
          <w:sz w:val="16"/>
          <w:szCs w:val="16"/>
          <w:lang w:val="en-GB"/>
        </w:rPr>
        <w:t>PROCESSING BY THE CONTRACTING PARTY</w:t>
      </w:r>
    </w:p>
    <w:p w14:paraId="34600B28" w14:textId="77777777" w:rsidR="00E8727B" w:rsidRPr="000D390F" w:rsidRDefault="00E8727B" w:rsidP="00186111">
      <w:pPr>
        <w:pStyle w:val="Akapitzlist"/>
        <w:spacing w:after="0" w:line="276" w:lineRule="auto"/>
        <w:ind w:left="567"/>
        <w:contextualSpacing w:val="0"/>
        <w:jc w:val="center"/>
        <w:rPr>
          <w:rFonts w:ascii="Verdana" w:eastAsia="Verdana" w:hAnsi="Verdana" w:cs="Times New Roman"/>
          <w:b/>
          <w:color w:val="auto"/>
          <w:sz w:val="16"/>
          <w:szCs w:val="16"/>
          <w:lang w:val="en-GB"/>
        </w:rPr>
      </w:pPr>
    </w:p>
    <w:p w14:paraId="1F2438DD" w14:textId="2B03B1F3" w:rsidR="00E8727B" w:rsidRPr="006A0DBC" w:rsidRDefault="006A0DBC" w:rsidP="00186111">
      <w:pPr>
        <w:pStyle w:val="Akapitzlist"/>
        <w:spacing w:after="0" w:line="276" w:lineRule="auto"/>
        <w:ind w:left="567"/>
        <w:contextualSpacing w:val="0"/>
        <w:jc w:val="center"/>
        <w:rPr>
          <w:rFonts w:ascii="Verdana" w:eastAsia="Verdana" w:hAnsi="Verdana" w:cs="Times New Roman"/>
          <w:b/>
          <w:caps/>
          <w:color w:val="auto"/>
          <w:sz w:val="16"/>
          <w:szCs w:val="16"/>
          <w:lang w:val="en-GB"/>
        </w:rPr>
      </w:pPr>
      <w:r w:rsidRPr="006A0DBC">
        <w:rPr>
          <w:rFonts w:ascii="Verdana" w:eastAsia="Verdana" w:hAnsi="Verdana" w:cs="Times New Roman"/>
          <w:b/>
          <w:caps/>
          <w:color w:val="auto"/>
          <w:sz w:val="16"/>
          <w:szCs w:val="16"/>
          <w:lang w:val="en-GB"/>
        </w:rPr>
        <w:t>For the needs of conducting Preliminary market consultations</w:t>
      </w:r>
      <w:r w:rsidR="00E8727B" w:rsidRPr="006A0DBC">
        <w:rPr>
          <w:rFonts w:ascii="Verdana" w:eastAsia="Verdana" w:hAnsi="Verdana" w:cs="Times New Roman"/>
          <w:b/>
          <w:caps/>
          <w:color w:val="auto"/>
          <w:sz w:val="16"/>
          <w:szCs w:val="16"/>
          <w:lang w:val="en-GB"/>
        </w:rPr>
        <w:t xml:space="preserve">, </w:t>
      </w:r>
    </w:p>
    <w:p w14:paraId="3D154CD1" w14:textId="63D0B0DA" w:rsidR="00E8727B" w:rsidRPr="006A0DBC" w:rsidRDefault="006A0DBC" w:rsidP="00186111">
      <w:pPr>
        <w:pStyle w:val="Akapitzlist"/>
        <w:spacing w:after="0" w:line="276" w:lineRule="auto"/>
        <w:ind w:left="567"/>
        <w:contextualSpacing w:val="0"/>
        <w:jc w:val="center"/>
        <w:rPr>
          <w:rFonts w:ascii="Verdana" w:eastAsia="Verdana" w:hAnsi="Verdana" w:cs="Times New Roman"/>
          <w:b/>
          <w:bCs/>
          <w:i/>
          <w:iCs/>
          <w:color w:val="auto"/>
          <w:sz w:val="16"/>
          <w:szCs w:val="16"/>
          <w:lang w:val="en-GB"/>
        </w:rPr>
      </w:pPr>
      <w:r w:rsidRPr="006A0DBC">
        <w:rPr>
          <w:rFonts w:ascii="Verdana" w:eastAsia="Verdana" w:hAnsi="Verdana" w:cs="Verdana"/>
          <w:b/>
          <w:bCs/>
          <w:color w:val="auto"/>
          <w:spacing w:val="0"/>
          <w:sz w:val="16"/>
          <w:szCs w:val="16"/>
          <w:lang w:val="en-GB"/>
        </w:rPr>
        <w:t>REGARDING</w:t>
      </w:r>
      <w:r w:rsidR="00E8727B" w:rsidRPr="006A0DBC">
        <w:rPr>
          <w:rFonts w:ascii="Verdana" w:eastAsia="Verdana" w:hAnsi="Verdana" w:cs="Verdana"/>
          <w:b/>
          <w:bCs/>
          <w:color w:val="auto"/>
          <w:spacing w:val="0"/>
          <w:sz w:val="16"/>
          <w:szCs w:val="16"/>
          <w:lang w:val="en-GB"/>
        </w:rPr>
        <w:t xml:space="preserve"> </w:t>
      </w:r>
      <w:r w:rsidRPr="006A0DBC">
        <w:rPr>
          <w:rFonts w:ascii="Verdana" w:eastAsia="Verdana" w:hAnsi="Verdana" w:cs="Verdana"/>
          <w:b/>
          <w:bCs/>
          <w:color w:val="auto"/>
          <w:spacing w:val="0"/>
          <w:sz w:val="16"/>
          <w:szCs w:val="16"/>
          <w:lang w:val="en-GB"/>
        </w:rPr>
        <w:t>consult</w:t>
      </w:r>
      <w:r>
        <w:rPr>
          <w:rFonts w:ascii="Verdana" w:eastAsia="Verdana" w:hAnsi="Verdana" w:cs="Verdana"/>
          <w:b/>
          <w:bCs/>
          <w:color w:val="auto"/>
          <w:spacing w:val="0"/>
          <w:sz w:val="16"/>
          <w:szCs w:val="16"/>
          <w:lang w:val="en-GB"/>
        </w:rPr>
        <w:t>ancy</w:t>
      </w:r>
      <w:r w:rsidRPr="006A0DBC">
        <w:rPr>
          <w:rFonts w:ascii="Verdana" w:eastAsia="Verdana" w:hAnsi="Verdana" w:cs="Verdana"/>
          <w:b/>
          <w:bCs/>
          <w:color w:val="auto"/>
          <w:spacing w:val="0"/>
          <w:sz w:val="16"/>
          <w:szCs w:val="16"/>
          <w:lang w:val="en-GB"/>
        </w:rPr>
        <w:t xml:space="preserve"> and obtaining information for the preparation of a public procurement procedure entitled</w:t>
      </w:r>
      <w:r w:rsidR="00E8727B" w:rsidRPr="006A0DBC">
        <w:rPr>
          <w:rFonts w:ascii="Verdana" w:eastAsia="Verdana" w:hAnsi="Verdana" w:cs="Verdana"/>
          <w:b/>
          <w:bCs/>
          <w:i/>
          <w:iCs/>
          <w:color w:val="auto"/>
          <w:spacing w:val="0"/>
          <w:sz w:val="16"/>
          <w:szCs w:val="16"/>
          <w:lang w:val="en-GB"/>
        </w:rPr>
        <w:t xml:space="preserve">: </w:t>
      </w:r>
    </w:p>
    <w:p w14:paraId="7530B9D3" w14:textId="33527B36" w:rsidR="00E8727B" w:rsidRPr="006A0DBC" w:rsidRDefault="00E8727B" w:rsidP="00186111">
      <w:pPr>
        <w:spacing w:line="276" w:lineRule="auto"/>
        <w:jc w:val="center"/>
        <w:rPr>
          <w:rFonts w:ascii="Verdana" w:eastAsia="Verdana" w:hAnsi="Verdana" w:cs="Verdana"/>
          <w:b/>
          <w:bCs/>
          <w:color w:val="auto"/>
          <w:spacing w:val="0"/>
          <w:sz w:val="16"/>
          <w:szCs w:val="16"/>
          <w:lang w:val="en-GB"/>
        </w:rPr>
      </w:pPr>
      <w:r w:rsidRPr="006A0DBC">
        <w:rPr>
          <w:rFonts w:ascii="Verdana" w:eastAsia="Verdana" w:hAnsi="Verdana" w:cs="Verdana"/>
          <w:b/>
          <w:bCs/>
          <w:color w:val="auto"/>
          <w:spacing w:val="0"/>
          <w:sz w:val="16"/>
          <w:szCs w:val="16"/>
          <w:lang w:val="en-GB"/>
        </w:rPr>
        <w:t>„</w:t>
      </w:r>
      <w:r w:rsidR="006A0DBC" w:rsidRPr="006A0DBC">
        <w:rPr>
          <w:rFonts w:ascii="Verdana" w:eastAsia="Verdana" w:hAnsi="Verdana" w:cs="Verdana"/>
          <w:b/>
          <w:bCs/>
          <w:i/>
          <w:iCs/>
          <w:color w:val="auto"/>
          <w:spacing w:val="0"/>
          <w:sz w:val="16"/>
          <w:szCs w:val="16"/>
          <w:lang w:val="en-GB"/>
        </w:rPr>
        <w:t>Execution of construction works aimed at the reconstruction and commissioning of BSL-3 laboratory at Łukasiewicz – PORT</w:t>
      </w:r>
      <w:r w:rsidRPr="006A0DBC">
        <w:rPr>
          <w:rFonts w:ascii="Verdana" w:eastAsia="Verdana" w:hAnsi="Verdana" w:cs="Times New Roman"/>
          <w:b/>
          <w:bCs/>
          <w:color w:val="auto"/>
          <w:sz w:val="16"/>
          <w:szCs w:val="16"/>
          <w:lang w:val="en-GB"/>
        </w:rPr>
        <w:t>”</w:t>
      </w:r>
    </w:p>
    <w:p w14:paraId="07BACBE8" w14:textId="05D040A4" w:rsidR="006C0373" w:rsidRPr="00B2443A" w:rsidRDefault="006C0373" w:rsidP="006C0373">
      <w:pPr>
        <w:spacing w:after="0" w:line="276" w:lineRule="auto"/>
        <w:rPr>
          <w:rFonts w:ascii="Verdana" w:eastAsia="Verdana" w:hAnsi="Verdana" w:cs="Times New Roman"/>
          <w:color w:val="auto"/>
          <w:sz w:val="16"/>
          <w:szCs w:val="16"/>
          <w:lang w:val="en-GB"/>
        </w:rPr>
      </w:pPr>
      <w:r w:rsidRPr="00B2443A">
        <w:rPr>
          <w:rFonts w:ascii="Verdana" w:eastAsia="Verdana" w:hAnsi="Verdana" w:cs="Times New Roman"/>
          <w:color w:val="auto"/>
          <w:sz w:val="16"/>
          <w:szCs w:val="16"/>
          <w:lang w:val="en-GB"/>
        </w:rPr>
        <w:t>According to Article 13 and Article 14 of the Regulation of the European Parliament and of the Council (EU) 2016/679 of 27 April 2016 on the protection of natural persons with regard to processing of personal data and on free movement of such data, and repealing Directive 95/46/EC (General Data Protection Regulation) (GDPR), the Contracting Party (organizer of Preliminary market consultations) informs that:</w:t>
      </w:r>
    </w:p>
    <w:p w14:paraId="652DEA4C" w14:textId="77777777" w:rsidR="00186111" w:rsidRPr="00B2443A" w:rsidRDefault="00186111" w:rsidP="00186111">
      <w:pPr>
        <w:spacing w:after="0" w:line="276" w:lineRule="auto"/>
        <w:rPr>
          <w:rFonts w:ascii="Verdana" w:eastAsia="Verdana" w:hAnsi="Verdana" w:cs="Times New Roman"/>
          <w:color w:val="auto"/>
          <w:spacing w:val="0"/>
          <w:sz w:val="16"/>
          <w:szCs w:val="16"/>
          <w:lang w:val="en-GB"/>
        </w:rPr>
      </w:pPr>
    </w:p>
    <w:p w14:paraId="59B8A52C" w14:textId="3AB65093" w:rsidR="00CB569A" w:rsidRPr="00B2443A" w:rsidRDefault="006C0373" w:rsidP="00CB569A">
      <w:pPr>
        <w:numPr>
          <w:ilvl w:val="0"/>
          <w:numId w:val="2"/>
        </w:numPr>
        <w:spacing w:after="0" w:line="276" w:lineRule="auto"/>
        <w:ind w:left="567" w:hanging="567"/>
        <w:rPr>
          <w:rFonts w:ascii="Verdana" w:eastAsia="Verdana" w:hAnsi="Verdana" w:cs="Times New Roman"/>
          <w:color w:val="auto"/>
          <w:sz w:val="16"/>
          <w:szCs w:val="16"/>
          <w:lang w:val="en-GB"/>
        </w:rPr>
      </w:pPr>
      <w:r w:rsidRPr="00B2443A">
        <w:rPr>
          <w:rFonts w:ascii="Verdana" w:eastAsia="Verdana" w:hAnsi="Verdana" w:cs="Times New Roman"/>
          <w:color w:val="auto"/>
          <w:sz w:val="16"/>
          <w:szCs w:val="16"/>
          <w:lang w:val="en-GB"/>
        </w:rPr>
        <w:t xml:space="preserve">The administrator of personal data provided to the Contracting Party in the course of this procedure is: </w:t>
      </w:r>
      <w:r w:rsidRPr="00B2443A">
        <w:rPr>
          <w:rFonts w:ascii="Verdana" w:eastAsia="Verdana" w:hAnsi="Verdana" w:cs="Times New Roman"/>
          <w:b/>
          <w:bCs/>
          <w:color w:val="auto"/>
          <w:sz w:val="16"/>
          <w:szCs w:val="16"/>
          <w:lang w:val="en-GB"/>
        </w:rPr>
        <w:t>Łukasiewicz Research Network – PORT Polish Center for Technology Development, located in Wrocław</w:t>
      </w:r>
      <w:r w:rsidRPr="00B2443A">
        <w:rPr>
          <w:rFonts w:ascii="Verdana" w:eastAsia="Verdana" w:hAnsi="Verdana" w:cs="Times New Roman"/>
          <w:color w:val="auto"/>
          <w:sz w:val="16"/>
          <w:szCs w:val="16"/>
          <w:lang w:val="en-GB"/>
        </w:rPr>
        <w:t xml:space="preserve">, Stabłowicka 147, 54-066 Wrocław, National Court Register (KRS): 0000850580; Tax Identification Number (NIP): 894 314 05 23; email: </w:t>
      </w:r>
      <w:hyperlink r:id="rId5" w:history="1">
        <w:r w:rsidRPr="00B2443A">
          <w:rPr>
            <w:rStyle w:val="Hipercze"/>
            <w:rFonts w:ascii="Verdana" w:eastAsia="Verdana" w:hAnsi="Verdana" w:cs="Times New Roman"/>
            <w:color w:val="auto"/>
            <w:sz w:val="16"/>
            <w:szCs w:val="16"/>
            <w:lang w:val="en-GB"/>
          </w:rPr>
          <w:t>biuro@port.lukasiewicz.gov.pl</w:t>
        </w:r>
      </w:hyperlink>
      <w:r w:rsidRPr="00B2443A">
        <w:rPr>
          <w:rFonts w:ascii="Verdana" w:eastAsia="Verdana" w:hAnsi="Verdana" w:cs="Times New Roman"/>
          <w:color w:val="auto"/>
          <w:sz w:val="16"/>
          <w:szCs w:val="16"/>
          <w:lang w:val="en-GB"/>
        </w:rPr>
        <w:t>.</w:t>
      </w:r>
    </w:p>
    <w:p w14:paraId="475C72B3" w14:textId="3CE06385" w:rsidR="00E8727B" w:rsidRPr="009F2C5F" w:rsidRDefault="00E8727B" w:rsidP="009F2C5F">
      <w:pPr>
        <w:pStyle w:val="Akapitzlist"/>
        <w:numPr>
          <w:ilvl w:val="0"/>
          <w:numId w:val="2"/>
        </w:numPr>
        <w:spacing w:after="0" w:line="276" w:lineRule="auto"/>
        <w:ind w:left="567" w:hanging="567"/>
        <w:rPr>
          <w:rFonts w:ascii="Verdana" w:eastAsia="Verdana" w:hAnsi="Verdana" w:cs="Times New Roman"/>
          <w:color w:val="auto"/>
          <w:sz w:val="16"/>
          <w:szCs w:val="16"/>
          <w:lang w:val="en-GB"/>
        </w:rPr>
      </w:pPr>
      <w:r w:rsidRPr="009F2C5F">
        <w:rPr>
          <w:rFonts w:ascii="Verdana" w:eastAsia="Verdana" w:hAnsi="Verdana" w:cs="Times New Roman"/>
          <w:color w:val="auto"/>
          <w:sz w:val="16"/>
          <w:szCs w:val="16"/>
        </w:rPr>
        <w:t xml:space="preserve">Administrator powołał Inspektora Ochrony Danych (IOD). Kontakt z IOD: </w:t>
      </w:r>
      <w:hyperlink r:id="rId6" w:history="1">
        <w:r w:rsidR="00186111" w:rsidRPr="009F2C5F">
          <w:rPr>
            <w:rStyle w:val="Hipercze"/>
            <w:rFonts w:ascii="Verdana" w:eastAsia="Verdana" w:hAnsi="Verdana" w:cs="Times New Roman"/>
            <w:color w:val="auto"/>
            <w:sz w:val="16"/>
            <w:szCs w:val="16"/>
          </w:rPr>
          <w:t>iod@port.lukasiewicz.gov.pl</w:t>
        </w:r>
      </w:hyperlink>
      <w:r w:rsidRPr="009F2C5F">
        <w:rPr>
          <w:rFonts w:ascii="Verdana" w:eastAsia="Verdana" w:hAnsi="Verdana" w:cs="Times New Roman"/>
          <w:color w:val="auto"/>
          <w:sz w:val="16"/>
          <w:szCs w:val="16"/>
        </w:rPr>
        <w:t>.</w:t>
      </w:r>
      <w:r w:rsidR="00186111" w:rsidRPr="009F2C5F">
        <w:rPr>
          <w:rFonts w:ascii="Verdana" w:eastAsia="Verdana" w:hAnsi="Verdana" w:cs="Times New Roman"/>
          <w:color w:val="auto"/>
          <w:sz w:val="16"/>
          <w:szCs w:val="16"/>
        </w:rPr>
        <w:t xml:space="preserve"> Zapraszamy do kontaktu we wszystkich sprawach dotyczących przetwarzania Państwa danych.</w:t>
      </w:r>
      <w:r w:rsidR="009F2C5F" w:rsidRPr="009F2C5F">
        <w:rPr>
          <w:rFonts w:ascii="Verdana" w:eastAsia="Verdana" w:hAnsi="Verdana" w:cs="Times New Roman"/>
          <w:color w:val="auto"/>
          <w:sz w:val="16"/>
          <w:szCs w:val="16"/>
        </w:rPr>
        <w:t xml:space="preserve"> </w:t>
      </w:r>
      <w:r w:rsidR="009F2C5F" w:rsidRPr="009F2C5F">
        <w:rPr>
          <w:rFonts w:ascii="Verdana" w:eastAsia="Verdana" w:hAnsi="Verdana" w:cs="Times New Roman"/>
          <w:color w:val="auto"/>
          <w:sz w:val="16"/>
          <w:szCs w:val="16"/>
          <w:lang w:val="en-GB"/>
        </w:rPr>
        <w:t>The administrator has appointed a Data Protection Officer (DPO). Contact the DPO at: iod@port.lukasiewicz.gov.pl. Feel free to contact us for any matters related to the processing of your data.</w:t>
      </w:r>
    </w:p>
    <w:p w14:paraId="40A918AA" w14:textId="711CDF73" w:rsidR="00E8727B" w:rsidRPr="009F2C5F" w:rsidRDefault="009F2C5F" w:rsidP="00186111">
      <w:pPr>
        <w:numPr>
          <w:ilvl w:val="0"/>
          <w:numId w:val="2"/>
        </w:numPr>
        <w:spacing w:after="0" w:line="276" w:lineRule="auto"/>
        <w:ind w:left="567" w:hanging="567"/>
        <w:rPr>
          <w:rFonts w:ascii="Verdana" w:eastAsia="Verdana" w:hAnsi="Verdana" w:cs="Times New Roman"/>
          <w:color w:val="auto"/>
          <w:sz w:val="16"/>
          <w:szCs w:val="16"/>
          <w:lang w:val="en-GB"/>
        </w:rPr>
      </w:pPr>
      <w:r w:rsidRPr="009F2C5F">
        <w:rPr>
          <w:rFonts w:ascii="Verdana" w:eastAsia="Verdana" w:hAnsi="Verdana" w:cs="Times New Roman"/>
          <w:color w:val="auto"/>
          <w:sz w:val="16"/>
          <w:szCs w:val="16"/>
          <w:lang w:val="en-GB"/>
        </w:rPr>
        <w:t>Personal data will be processed based on</w:t>
      </w:r>
      <w:r w:rsidR="00E8727B" w:rsidRPr="009F2C5F">
        <w:rPr>
          <w:rFonts w:ascii="Verdana" w:eastAsia="Verdana" w:hAnsi="Verdana" w:cs="Times New Roman"/>
          <w:color w:val="auto"/>
          <w:sz w:val="16"/>
          <w:szCs w:val="16"/>
          <w:lang w:val="en-GB"/>
        </w:rPr>
        <w:t xml:space="preserve">: </w:t>
      </w:r>
    </w:p>
    <w:p w14:paraId="32241138" w14:textId="297AB80E" w:rsidR="00E8727B" w:rsidRPr="009F2C5F" w:rsidRDefault="009F2C5F" w:rsidP="00186111">
      <w:pPr>
        <w:numPr>
          <w:ilvl w:val="0"/>
          <w:numId w:val="4"/>
        </w:numPr>
        <w:spacing w:after="0" w:line="276" w:lineRule="auto"/>
        <w:ind w:left="1134" w:hanging="567"/>
        <w:rPr>
          <w:rFonts w:ascii="Verdana" w:eastAsia="Verdana" w:hAnsi="Verdana" w:cs="Times New Roman"/>
          <w:color w:val="auto"/>
          <w:sz w:val="16"/>
          <w:szCs w:val="16"/>
          <w:lang w:val="en-GB"/>
        </w:rPr>
      </w:pPr>
      <w:r>
        <w:rPr>
          <w:rFonts w:ascii="Verdana" w:eastAsia="Verdana" w:hAnsi="Verdana" w:cs="Times New Roman"/>
          <w:color w:val="auto"/>
          <w:sz w:val="16"/>
          <w:szCs w:val="16"/>
          <w:lang w:val="en-GB"/>
        </w:rPr>
        <w:t>A</w:t>
      </w:r>
      <w:r w:rsidRPr="00B2443A">
        <w:rPr>
          <w:rFonts w:ascii="Verdana" w:eastAsia="Verdana" w:hAnsi="Verdana" w:cs="Times New Roman"/>
          <w:color w:val="auto"/>
          <w:sz w:val="16"/>
          <w:szCs w:val="16"/>
          <w:lang w:val="en-GB"/>
        </w:rPr>
        <w:t>rticle 6(1)(c) of the GDPR in connection with the provisions of the Public Procurement Law; providing personal data is a statutory requirement, and failure to provide them makes participation in preliminary market consultations impossible; any data regarding criminal convictions or offenses and related security measures are processed based on Article 6(1)(c) in connection with Article 10 of the GDPR</w:t>
      </w:r>
      <w:r w:rsidR="00E8727B" w:rsidRPr="009F2C5F">
        <w:rPr>
          <w:rFonts w:ascii="Verdana" w:eastAsia="Verdana" w:hAnsi="Verdana" w:cs="Times New Roman"/>
          <w:color w:val="auto"/>
          <w:sz w:val="16"/>
          <w:szCs w:val="16"/>
          <w:lang w:val="en-GB"/>
        </w:rPr>
        <w:t>;</w:t>
      </w:r>
    </w:p>
    <w:p w14:paraId="5B0285EB" w14:textId="350B4C08" w:rsidR="00AB62B4" w:rsidRPr="009F2C5F" w:rsidRDefault="009F2C5F" w:rsidP="00AB62B4">
      <w:pPr>
        <w:numPr>
          <w:ilvl w:val="0"/>
          <w:numId w:val="4"/>
        </w:numPr>
        <w:spacing w:after="0" w:line="276" w:lineRule="auto"/>
        <w:ind w:left="1134" w:hanging="567"/>
        <w:rPr>
          <w:rFonts w:ascii="Verdana" w:eastAsia="Verdana" w:hAnsi="Verdana" w:cs="Times New Roman"/>
          <w:color w:val="auto"/>
          <w:sz w:val="16"/>
          <w:szCs w:val="16"/>
          <w:lang w:val="en-GB"/>
        </w:rPr>
      </w:pPr>
      <w:r>
        <w:rPr>
          <w:rFonts w:ascii="Verdana" w:eastAsia="Verdana" w:hAnsi="Verdana" w:cs="Times New Roman"/>
          <w:color w:val="auto"/>
          <w:sz w:val="16"/>
          <w:szCs w:val="16"/>
          <w:lang w:val="en-GB"/>
        </w:rPr>
        <w:t>a</w:t>
      </w:r>
      <w:r w:rsidRPr="00B2443A">
        <w:rPr>
          <w:rFonts w:ascii="Verdana" w:eastAsia="Verdana" w:hAnsi="Verdana" w:cs="Times New Roman"/>
          <w:color w:val="auto"/>
          <w:sz w:val="16"/>
          <w:szCs w:val="16"/>
          <w:lang w:val="en-GB"/>
        </w:rPr>
        <w:t xml:space="preserve">lternatively: based on Article 6(1)(b) of the GDPR as data necessary for the fulfillment of the </w:t>
      </w:r>
      <w:r>
        <w:rPr>
          <w:rFonts w:ascii="Verdana" w:eastAsia="Verdana" w:hAnsi="Verdana" w:cs="Times New Roman"/>
          <w:color w:val="auto"/>
          <w:sz w:val="16"/>
          <w:szCs w:val="16"/>
          <w:lang w:val="en-GB"/>
        </w:rPr>
        <w:t>Contractor</w:t>
      </w:r>
      <w:r w:rsidRPr="00B2443A">
        <w:rPr>
          <w:rFonts w:ascii="Verdana" w:eastAsia="Verdana" w:hAnsi="Verdana" w:cs="Times New Roman"/>
          <w:color w:val="auto"/>
          <w:sz w:val="16"/>
          <w:szCs w:val="16"/>
          <w:lang w:val="en-GB"/>
        </w:rPr>
        <w:t xml:space="preserve">'s (participant in Preliminary </w:t>
      </w:r>
      <w:r>
        <w:rPr>
          <w:rFonts w:ascii="Verdana" w:eastAsia="Verdana" w:hAnsi="Verdana" w:cs="Times New Roman"/>
          <w:color w:val="auto"/>
          <w:sz w:val="16"/>
          <w:szCs w:val="16"/>
          <w:lang w:val="en-GB"/>
        </w:rPr>
        <w:t>m</w:t>
      </w:r>
      <w:r w:rsidRPr="00B2443A">
        <w:rPr>
          <w:rFonts w:ascii="Verdana" w:eastAsia="Verdana" w:hAnsi="Verdana" w:cs="Times New Roman"/>
          <w:color w:val="auto"/>
          <w:sz w:val="16"/>
          <w:szCs w:val="16"/>
          <w:lang w:val="en-GB"/>
        </w:rPr>
        <w:t xml:space="preserve">arket </w:t>
      </w:r>
      <w:r>
        <w:rPr>
          <w:rFonts w:ascii="Verdana" w:eastAsia="Verdana" w:hAnsi="Verdana" w:cs="Times New Roman"/>
          <w:color w:val="auto"/>
          <w:sz w:val="16"/>
          <w:szCs w:val="16"/>
          <w:lang w:val="en-GB"/>
        </w:rPr>
        <w:t>c</w:t>
      </w:r>
      <w:r w:rsidRPr="00B2443A">
        <w:rPr>
          <w:rFonts w:ascii="Verdana" w:eastAsia="Verdana" w:hAnsi="Verdana" w:cs="Times New Roman"/>
          <w:color w:val="auto"/>
          <w:sz w:val="16"/>
          <w:szCs w:val="16"/>
          <w:lang w:val="en-GB"/>
        </w:rPr>
        <w:t>onsultations) request to participate in the proceedings; failure to provide data makes it impossible to fulfill the request</w:t>
      </w:r>
      <w:r w:rsidR="00AB62B4" w:rsidRPr="009F2C5F">
        <w:rPr>
          <w:rFonts w:ascii="Verdana" w:eastAsia="Verdana" w:hAnsi="Verdana" w:cs="Times New Roman"/>
          <w:color w:val="auto"/>
          <w:sz w:val="16"/>
          <w:szCs w:val="16"/>
          <w:lang w:val="en-GB"/>
        </w:rPr>
        <w:t>;</w:t>
      </w:r>
    </w:p>
    <w:p w14:paraId="28E64672" w14:textId="18A53A27" w:rsidR="00AB62B4" w:rsidRPr="009F2C5F" w:rsidRDefault="009F2C5F" w:rsidP="00AB62B4">
      <w:pPr>
        <w:numPr>
          <w:ilvl w:val="0"/>
          <w:numId w:val="4"/>
        </w:numPr>
        <w:spacing w:after="0" w:line="276" w:lineRule="auto"/>
        <w:ind w:left="1134" w:hanging="567"/>
        <w:rPr>
          <w:rFonts w:ascii="Verdana" w:eastAsia="Verdana" w:hAnsi="Verdana" w:cs="Times New Roman"/>
          <w:color w:val="auto"/>
          <w:sz w:val="16"/>
          <w:szCs w:val="16"/>
          <w:lang w:val="en-GB"/>
        </w:rPr>
      </w:pPr>
      <w:r w:rsidRPr="006A0DBC">
        <w:rPr>
          <w:rFonts w:ascii="Verdana" w:eastAsia="Verdana" w:hAnsi="Verdana" w:cs="Times New Roman"/>
          <w:color w:val="auto"/>
          <w:sz w:val="16"/>
          <w:szCs w:val="16"/>
          <w:lang w:val="en-GB"/>
        </w:rPr>
        <w:t>a</w:t>
      </w:r>
      <w:r w:rsidRPr="006A0DBC">
        <w:rPr>
          <w:rFonts w:ascii="Verdana" w:eastAsia="Verdana" w:hAnsi="Verdana" w:cs="Times New Roman"/>
          <w:color w:val="auto"/>
          <w:sz w:val="16"/>
          <w:szCs w:val="16"/>
          <w:lang w:val="en-GB"/>
        </w:rPr>
        <w:t>lternatively: based on Article 6(1)(f) of the GDPR for proceedings related to claims by the Administrator</w:t>
      </w:r>
      <w:r w:rsidRPr="006A0DBC">
        <w:rPr>
          <w:rFonts w:ascii="Verdana" w:eastAsia="Verdana" w:hAnsi="Verdana" w:cs="Times New Roman"/>
          <w:color w:val="auto"/>
          <w:sz w:val="16"/>
          <w:szCs w:val="16"/>
          <w:lang w:val="en-GB"/>
        </w:rPr>
        <w:t xml:space="preserve"> or </w:t>
      </w:r>
      <w:r w:rsidRPr="006A0DBC">
        <w:rPr>
          <w:rFonts w:ascii="Verdana" w:eastAsia="Verdana" w:hAnsi="Verdana" w:cs="Times New Roman"/>
          <w:color w:val="auto"/>
          <w:sz w:val="16"/>
          <w:szCs w:val="16"/>
          <w:lang w:val="en-GB"/>
        </w:rPr>
        <w:t xml:space="preserve">against the Administrator. </w:t>
      </w:r>
      <w:r w:rsidRPr="00B2443A">
        <w:rPr>
          <w:rFonts w:ascii="Verdana" w:eastAsia="Verdana" w:hAnsi="Verdana" w:cs="Times New Roman"/>
          <w:color w:val="auto"/>
          <w:sz w:val="16"/>
          <w:szCs w:val="16"/>
          <w:lang w:val="en-GB"/>
        </w:rPr>
        <w:t>Your personal data may also be processed – after exhausting other legal bases – for archival purposes, which is a legally justified interest of the state legal entity performing public tasks with public funds as mentioned in Article 6(1)(f) of the GDPR; in this case, the further archiving period will not exceed 5 years</w:t>
      </w:r>
      <w:r w:rsidR="00AB62B4" w:rsidRPr="009F2C5F">
        <w:rPr>
          <w:rFonts w:ascii="Verdana" w:eastAsia="Verdana" w:hAnsi="Verdana" w:cs="Times New Roman"/>
          <w:color w:val="auto"/>
          <w:sz w:val="16"/>
          <w:szCs w:val="16"/>
          <w:lang w:val="en-GB"/>
        </w:rPr>
        <w:t xml:space="preserve">. </w:t>
      </w:r>
    </w:p>
    <w:p w14:paraId="4379A2CD" w14:textId="22700854" w:rsidR="00E8727B" w:rsidRPr="006A0DBC" w:rsidRDefault="00E8727B" w:rsidP="00186111">
      <w:pPr>
        <w:numPr>
          <w:ilvl w:val="0"/>
          <w:numId w:val="2"/>
        </w:numPr>
        <w:spacing w:after="0" w:line="276" w:lineRule="auto"/>
        <w:ind w:left="567" w:hanging="567"/>
        <w:rPr>
          <w:rFonts w:ascii="Verdana" w:eastAsia="Verdana" w:hAnsi="Verdana" w:cs="Times New Roman"/>
          <w:color w:val="auto"/>
          <w:sz w:val="16"/>
          <w:szCs w:val="16"/>
          <w:lang w:val="en-GB"/>
        </w:rPr>
      </w:pPr>
      <w:r w:rsidRPr="006A0DBC">
        <w:rPr>
          <w:rFonts w:ascii="Verdana" w:eastAsia="Verdana" w:hAnsi="Verdana" w:cs="Times New Roman"/>
          <w:color w:val="auto"/>
          <w:sz w:val="16"/>
          <w:szCs w:val="16"/>
          <w:lang w:val="en-GB"/>
        </w:rPr>
        <w:t xml:space="preserve">Dane osobowe będą przetwarzane w celu: związanym z przeprowadzeniem </w:t>
      </w:r>
      <w:r w:rsidRPr="006A0DBC">
        <w:rPr>
          <w:rFonts w:ascii="Verdana" w:eastAsia="Verdana" w:hAnsi="Verdana" w:cs="Times New Roman"/>
          <w:color w:val="auto"/>
          <w:spacing w:val="0"/>
          <w:sz w:val="16"/>
          <w:szCs w:val="16"/>
          <w:lang w:val="en-GB"/>
        </w:rPr>
        <w:t>Wstępnych konsultacji rynkowych</w:t>
      </w:r>
      <w:r w:rsidRPr="006A0DBC">
        <w:rPr>
          <w:rFonts w:ascii="Verdana" w:eastAsia="Verdana" w:hAnsi="Verdana" w:cs="Times New Roman"/>
          <w:color w:val="auto"/>
          <w:sz w:val="16"/>
          <w:szCs w:val="16"/>
          <w:lang w:val="en-GB"/>
        </w:rPr>
        <w:t>, których przedmiotem jest doradztwo i pozyskanie informacji, służących do przygotowania postępowania o zamówienie publiczne p.n.: „</w:t>
      </w:r>
      <w:r w:rsidR="00186111" w:rsidRPr="006A0DBC">
        <w:rPr>
          <w:rFonts w:ascii="Verdana" w:eastAsia="Verdana" w:hAnsi="Verdana" w:cs="Verdana"/>
          <w:i/>
          <w:iCs/>
          <w:color w:val="auto"/>
          <w:spacing w:val="0"/>
          <w:sz w:val="16"/>
          <w:szCs w:val="16"/>
          <w:lang w:val="en-GB"/>
        </w:rPr>
        <w:t>Wykonanie robót budowlanych mających na celu przebudowę i uruchomienie laboratorium BSL-3 w Łukasiewicz – PORT</w:t>
      </w:r>
      <w:r w:rsidRPr="006A0DBC">
        <w:rPr>
          <w:rFonts w:ascii="Verdana" w:eastAsia="Verdana" w:hAnsi="Verdana" w:cs="Times New Roman"/>
          <w:color w:val="auto"/>
          <w:sz w:val="16"/>
          <w:szCs w:val="16"/>
          <w:lang w:val="en-GB"/>
        </w:rPr>
        <w:t>”</w:t>
      </w:r>
      <w:r w:rsidR="006A0DBC" w:rsidRPr="006A0DBC">
        <w:rPr>
          <w:rFonts w:ascii="Verdana" w:eastAsia="Verdana" w:hAnsi="Verdana" w:cs="Times New Roman"/>
          <w:color w:val="auto"/>
          <w:sz w:val="16"/>
          <w:szCs w:val="16"/>
          <w:lang w:val="en-GB"/>
        </w:rPr>
        <w:t xml:space="preserve"> </w:t>
      </w:r>
      <w:r w:rsidR="006A0DBC" w:rsidRPr="00B2443A">
        <w:rPr>
          <w:rFonts w:ascii="Verdana" w:eastAsia="Verdana" w:hAnsi="Verdana" w:cs="Times New Roman"/>
          <w:color w:val="auto"/>
          <w:sz w:val="16"/>
          <w:szCs w:val="16"/>
          <w:lang w:val="en-GB"/>
        </w:rPr>
        <w:t xml:space="preserve">Personal data will be processed for the purpose related to conducting Preliminary </w:t>
      </w:r>
      <w:r w:rsidR="006A0DBC">
        <w:rPr>
          <w:rFonts w:ascii="Verdana" w:eastAsia="Verdana" w:hAnsi="Verdana" w:cs="Times New Roman"/>
          <w:color w:val="auto"/>
          <w:sz w:val="16"/>
          <w:szCs w:val="16"/>
          <w:lang w:val="en-GB"/>
        </w:rPr>
        <w:t>m</w:t>
      </w:r>
      <w:r w:rsidR="006A0DBC" w:rsidRPr="00B2443A">
        <w:rPr>
          <w:rFonts w:ascii="Verdana" w:eastAsia="Verdana" w:hAnsi="Verdana" w:cs="Times New Roman"/>
          <w:color w:val="auto"/>
          <w:sz w:val="16"/>
          <w:szCs w:val="16"/>
          <w:lang w:val="en-GB"/>
        </w:rPr>
        <w:t xml:space="preserve">arket </w:t>
      </w:r>
      <w:r w:rsidR="006A0DBC">
        <w:rPr>
          <w:rFonts w:ascii="Verdana" w:eastAsia="Verdana" w:hAnsi="Verdana" w:cs="Times New Roman"/>
          <w:color w:val="auto"/>
          <w:sz w:val="16"/>
          <w:szCs w:val="16"/>
          <w:lang w:val="en-GB"/>
        </w:rPr>
        <w:t>c</w:t>
      </w:r>
      <w:r w:rsidR="006A0DBC" w:rsidRPr="00B2443A">
        <w:rPr>
          <w:rFonts w:ascii="Verdana" w:eastAsia="Verdana" w:hAnsi="Verdana" w:cs="Times New Roman"/>
          <w:color w:val="auto"/>
          <w:sz w:val="16"/>
          <w:szCs w:val="16"/>
          <w:lang w:val="en-GB"/>
        </w:rPr>
        <w:t xml:space="preserve">onsultations, the subject of which is </w:t>
      </w:r>
      <w:bookmarkStart w:id="0" w:name="_Hlk152645145"/>
      <w:r w:rsidR="006A0DBC">
        <w:rPr>
          <w:rFonts w:ascii="Verdana" w:eastAsia="Verdana" w:hAnsi="Verdana" w:cs="Times New Roman"/>
          <w:color w:val="auto"/>
          <w:sz w:val="16"/>
          <w:szCs w:val="16"/>
          <w:lang w:val="en-GB"/>
        </w:rPr>
        <w:t>consultancy</w:t>
      </w:r>
      <w:r w:rsidR="006A0DBC" w:rsidRPr="00B2443A">
        <w:rPr>
          <w:rFonts w:ascii="Verdana" w:eastAsia="Verdana" w:hAnsi="Verdana" w:cs="Times New Roman"/>
          <w:color w:val="auto"/>
          <w:sz w:val="16"/>
          <w:szCs w:val="16"/>
          <w:lang w:val="en-GB"/>
        </w:rPr>
        <w:t xml:space="preserve"> and obtaining information for the preparation of a public procurement procedure entitled </w:t>
      </w:r>
      <w:bookmarkEnd w:id="0"/>
      <w:r w:rsidR="006A0DBC" w:rsidRPr="00B2443A">
        <w:rPr>
          <w:rFonts w:ascii="Verdana" w:eastAsia="Verdana" w:hAnsi="Verdana" w:cs="Times New Roman"/>
          <w:color w:val="auto"/>
          <w:sz w:val="16"/>
          <w:szCs w:val="16"/>
          <w:lang w:val="en-GB"/>
        </w:rPr>
        <w:t>"</w:t>
      </w:r>
      <w:r w:rsidR="006A0DBC" w:rsidRPr="006A0DBC">
        <w:rPr>
          <w:rFonts w:ascii="Verdana" w:eastAsia="Verdana" w:hAnsi="Verdana" w:cs="Times New Roman"/>
          <w:color w:val="auto"/>
          <w:sz w:val="16"/>
          <w:szCs w:val="16"/>
          <w:lang w:val="en-GB"/>
        </w:rPr>
        <w:t>Execution of construction works aimed at the reconstruction and commissioning of BSL-3 laboratory at Łukasiewicz – PORT</w:t>
      </w:r>
      <w:r w:rsidR="006A0DBC">
        <w:rPr>
          <w:rFonts w:ascii="Verdana" w:eastAsia="Verdana" w:hAnsi="Verdana" w:cs="Times New Roman"/>
          <w:color w:val="auto"/>
          <w:sz w:val="16"/>
          <w:szCs w:val="16"/>
          <w:lang w:val="en-GB"/>
        </w:rPr>
        <w:t>”.</w:t>
      </w:r>
      <w:r w:rsidRPr="006A0DBC">
        <w:rPr>
          <w:rFonts w:ascii="Verdana" w:eastAsia="Verdana" w:hAnsi="Verdana" w:cs="Times New Roman"/>
          <w:color w:val="auto"/>
          <w:sz w:val="16"/>
          <w:szCs w:val="16"/>
          <w:lang w:val="en-GB"/>
        </w:rPr>
        <w:t xml:space="preserve"> </w:t>
      </w:r>
    </w:p>
    <w:p w14:paraId="6AF958F0" w14:textId="478215E7" w:rsidR="00A06E31" w:rsidRPr="00A179BB" w:rsidRDefault="00A179BB" w:rsidP="00186111">
      <w:pPr>
        <w:numPr>
          <w:ilvl w:val="0"/>
          <w:numId w:val="2"/>
        </w:numPr>
        <w:spacing w:after="0" w:line="276" w:lineRule="auto"/>
        <w:ind w:left="567" w:hanging="567"/>
        <w:rPr>
          <w:rFonts w:ascii="Verdana" w:eastAsia="Verdana" w:hAnsi="Verdana" w:cs="Times New Roman"/>
          <w:color w:val="auto"/>
          <w:sz w:val="16"/>
          <w:szCs w:val="16"/>
          <w:lang w:val="en-GB"/>
        </w:rPr>
      </w:pPr>
      <w:r w:rsidRPr="00B2443A">
        <w:rPr>
          <w:rFonts w:ascii="Verdana" w:eastAsia="Verdana" w:hAnsi="Verdana" w:cs="Times New Roman"/>
          <w:color w:val="auto"/>
          <w:sz w:val="16"/>
          <w:szCs w:val="16"/>
          <w:lang w:val="en-GB"/>
        </w:rPr>
        <w:t>The Administrator processes such categories of data as</w:t>
      </w:r>
      <w:r w:rsidR="008834AE">
        <w:rPr>
          <w:rFonts w:ascii="Verdana" w:eastAsia="Verdana" w:hAnsi="Verdana" w:cs="Times New Roman"/>
          <w:color w:val="auto"/>
          <w:sz w:val="16"/>
          <w:szCs w:val="16"/>
          <w:lang w:val="en-GB"/>
        </w:rPr>
        <w:t>:</w:t>
      </w:r>
      <w:r w:rsidRPr="00B2443A">
        <w:rPr>
          <w:rFonts w:ascii="Verdana" w:eastAsia="Verdana" w:hAnsi="Verdana" w:cs="Times New Roman"/>
          <w:color w:val="auto"/>
          <w:sz w:val="16"/>
          <w:szCs w:val="16"/>
          <w:lang w:val="en-GB"/>
        </w:rPr>
        <w:t xml:space="preserve"> contact details, e.g., name, surname, company, contact addresses, job position, telephone number, email address; if it is necessary to stay on the Administrator's premises to fulfill the contract: image (as part of monitoring, about which you will be informed in case of its application on-site), experience and qualifications, if required to participate in consultations, and data provided in the application to participate in market consultations</w:t>
      </w:r>
      <w:r w:rsidR="00A06E31" w:rsidRPr="00A179BB">
        <w:rPr>
          <w:rFonts w:ascii="Verdana" w:eastAsia="Verdana" w:hAnsi="Verdana" w:cs="Times New Roman"/>
          <w:color w:val="auto"/>
          <w:sz w:val="16"/>
          <w:szCs w:val="16"/>
          <w:lang w:val="en-GB"/>
        </w:rPr>
        <w:t>.</w:t>
      </w:r>
    </w:p>
    <w:p w14:paraId="32A988D0" w14:textId="1C09C1DE" w:rsidR="00A06E31" w:rsidRPr="008834AE" w:rsidRDefault="008834AE" w:rsidP="00186111">
      <w:pPr>
        <w:numPr>
          <w:ilvl w:val="0"/>
          <w:numId w:val="2"/>
        </w:numPr>
        <w:spacing w:after="0" w:line="276" w:lineRule="auto"/>
        <w:ind w:left="567" w:hanging="567"/>
        <w:rPr>
          <w:rFonts w:ascii="Verdana" w:eastAsia="Verdana" w:hAnsi="Verdana" w:cs="Times New Roman"/>
          <w:color w:val="auto"/>
          <w:sz w:val="16"/>
          <w:szCs w:val="16"/>
          <w:lang w:val="en-GB"/>
        </w:rPr>
      </w:pPr>
      <w:r w:rsidRPr="008834AE">
        <w:rPr>
          <w:rFonts w:ascii="Verdana" w:eastAsia="Verdana" w:hAnsi="Verdana" w:cs="Times New Roman"/>
          <w:color w:val="auto"/>
          <w:sz w:val="16"/>
          <w:szCs w:val="16"/>
          <w:lang w:val="en-GB"/>
        </w:rPr>
        <w:t xml:space="preserve">Personal data has been obtained from you, and in the case of representatives or </w:t>
      </w:r>
      <w:r w:rsidRPr="008834AE">
        <w:rPr>
          <w:rFonts w:ascii="Verdana" w:eastAsia="Verdana" w:hAnsi="Verdana" w:cs="Times New Roman"/>
          <w:color w:val="auto"/>
          <w:sz w:val="16"/>
          <w:szCs w:val="16"/>
          <w:lang w:val="en-GB"/>
        </w:rPr>
        <w:t>plenipotentiaries</w:t>
      </w:r>
      <w:r w:rsidRPr="008834AE">
        <w:rPr>
          <w:rFonts w:ascii="Verdana" w:eastAsia="Verdana" w:hAnsi="Verdana" w:cs="Times New Roman"/>
          <w:color w:val="auto"/>
          <w:sz w:val="16"/>
          <w:szCs w:val="16"/>
          <w:lang w:val="en-GB"/>
        </w:rPr>
        <w:t xml:space="preserve"> or contact persons from your employer/client/co-worker to the extent enabling mutual contact</w:t>
      </w:r>
      <w:r w:rsidR="00A06E31" w:rsidRPr="008834AE">
        <w:rPr>
          <w:rFonts w:ascii="Verdana" w:eastAsia="Verdana" w:hAnsi="Verdana" w:cs="Times New Roman"/>
          <w:color w:val="auto"/>
          <w:sz w:val="16"/>
          <w:szCs w:val="16"/>
          <w:lang w:val="en-GB"/>
        </w:rPr>
        <w:t xml:space="preserve">. </w:t>
      </w:r>
    </w:p>
    <w:p w14:paraId="2C677CCC" w14:textId="1FBD17FE" w:rsidR="00E8727B" w:rsidRPr="008834AE" w:rsidRDefault="008834AE" w:rsidP="00186111">
      <w:pPr>
        <w:numPr>
          <w:ilvl w:val="0"/>
          <w:numId w:val="2"/>
        </w:numPr>
        <w:spacing w:after="0" w:line="276" w:lineRule="auto"/>
        <w:ind w:left="567" w:hanging="567"/>
        <w:rPr>
          <w:rFonts w:ascii="Verdana" w:eastAsia="Verdana" w:hAnsi="Verdana" w:cs="Times New Roman"/>
          <w:color w:val="auto"/>
          <w:sz w:val="16"/>
          <w:szCs w:val="16"/>
          <w:lang w:val="en-GB"/>
        </w:rPr>
      </w:pPr>
      <w:r w:rsidRPr="00B2443A">
        <w:rPr>
          <w:rFonts w:ascii="Verdana" w:eastAsia="Verdana" w:hAnsi="Verdana" w:cs="Times New Roman"/>
          <w:color w:val="auto"/>
          <w:sz w:val="16"/>
          <w:szCs w:val="16"/>
          <w:lang w:val="en-GB"/>
        </w:rPr>
        <w:t>Recipients of your personal data may include, in particular: duly authorized collaborators of the Administrator or its service providers, entities authorized to statutory or contractual control or supervision over the Administrator, in particular, Łukasiewicz Center, the relevant minister and ministry, intermediary institutions, in particular, NCN or NCBiR, entities authorized by you, entities handling IT services related to public procurement, and other entities authorized by law, in particular, to access documentation based on Article 18 or Article 74(1) P</w:t>
      </w:r>
      <w:r>
        <w:rPr>
          <w:rFonts w:ascii="Verdana" w:eastAsia="Verdana" w:hAnsi="Verdana" w:cs="Times New Roman"/>
          <w:color w:val="auto"/>
          <w:sz w:val="16"/>
          <w:szCs w:val="16"/>
          <w:lang w:val="en-GB"/>
        </w:rPr>
        <w:t>ublic Procurement Law (PPL)</w:t>
      </w:r>
      <w:r w:rsidRPr="00B2443A">
        <w:rPr>
          <w:rFonts w:ascii="Verdana" w:eastAsia="Verdana" w:hAnsi="Verdana" w:cs="Times New Roman"/>
          <w:color w:val="auto"/>
          <w:sz w:val="16"/>
          <w:szCs w:val="16"/>
          <w:lang w:val="en-GB"/>
        </w:rPr>
        <w:t xml:space="preserve"> in connection with Article 84-85 PP</w:t>
      </w:r>
      <w:r>
        <w:rPr>
          <w:rFonts w:ascii="Verdana" w:eastAsia="Verdana" w:hAnsi="Verdana" w:cs="Times New Roman"/>
          <w:color w:val="auto"/>
          <w:sz w:val="16"/>
          <w:szCs w:val="16"/>
          <w:lang w:val="en-GB"/>
        </w:rPr>
        <w:t>L</w:t>
      </w:r>
      <w:r w:rsidRPr="00B2443A">
        <w:rPr>
          <w:rFonts w:ascii="Verdana" w:eastAsia="Verdana" w:hAnsi="Verdana" w:cs="Times New Roman"/>
          <w:color w:val="auto"/>
          <w:sz w:val="16"/>
          <w:szCs w:val="16"/>
          <w:lang w:val="en-GB"/>
        </w:rPr>
        <w:t xml:space="preserve"> or within the right to access public information</w:t>
      </w:r>
      <w:r w:rsidR="00E8727B" w:rsidRPr="008834AE">
        <w:rPr>
          <w:rFonts w:ascii="Verdana" w:eastAsia="Verdana" w:hAnsi="Verdana" w:cs="Times New Roman"/>
          <w:color w:val="auto"/>
          <w:sz w:val="16"/>
          <w:szCs w:val="16"/>
          <w:lang w:val="en-GB"/>
        </w:rPr>
        <w:t>.</w:t>
      </w:r>
    </w:p>
    <w:p w14:paraId="192B6E49" w14:textId="052DBFA4" w:rsidR="00E8727B" w:rsidRPr="008834AE" w:rsidRDefault="004B1D4F" w:rsidP="00AB62B4">
      <w:pPr>
        <w:pStyle w:val="Akapitzlist"/>
        <w:widowControl w:val="0"/>
        <w:numPr>
          <w:ilvl w:val="0"/>
          <w:numId w:val="2"/>
        </w:numPr>
        <w:spacing w:after="0" w:line="276" w:lineRule="auto"/>
        <w:ind w:left="567" w:hanging="567"/>
        <w:contextualSpacing w:val="0"/>
        <w:rPr>
          <w:rFonts w:ascii="Verdana" w:eastAsia="Verdana" w:hAnsi="Verdana" w:cs="Times New Roman"/>
          <w:color w:val="auto"/>
          <w:sz w:val="16"/>
          <w:szCs w:val="16"/>
          <w:lang w:val="en-GB"/>
        </w:rPr>
      </w:pPr>
      <w:r w:rsidRPr="004B1D4F">
        <w:rPr>
          <w:rFonts w:ascii="Verdana" w:eastAsia="Verdana" w:hAnsi="Verdana" w:cs="Times New Roman"/>
          <w:color w:val="auto"/>
          <w:sz w:val="16"/>
          <w:szCs w:val="16"/>
          <w:lang w:val="en-GB"/>
        </w:rPr>
        <w:lastRenderedPageBreak/>
        <w:t>Y</w:t>
      </w:r>
      <w:r w:rsidR="008834AE" w:rsidRPr="004B1D4F">
        <w:rPr>
          <w:rFonts w:ascii="Verdana" w:eastAsia="Verdana" w:hAnsi="Verdana" w:cs="Times New Roman"/>
          <w:color w:val="auto"/>
          <w:sz w:val="16"/>
          <w:szCs w:val="16"/>
          <w:lang w:val="en-GB"/>
        </w:rPr>
        <w:t>our personal data may be transferred to the European Union, especially in the case of implementing public orders funded from public</w:t>
      </w:r>
      <w:r w:rsidR="008834AE" w:rsidRPr="004B1D4F">
        <w:rPr>
          <w:rFonts w:ascii="Verdana" w:eastAsia="Verdana" w:hAnsi="Verdana" w:cs="Times New Roman"/>
          <w:color w:val="auto"/>
          <w:sz w:val="16"/>
          <w:szCs w:val="16"/>
          <w:lang w:val="en-GB"/>
        </w:rPr>
        <w:t xml:space="preserve"> funds</w:t>
      </w:r>
      <w:r w:rsidR="008834AE" w:rsidRPr="004B1D4F">
        <w:rPr>
          <w:rFonts w:ascii="Verdana" w:eastAsia="Verdana" w:hAnsi="Verdana" w:cs="Times New Roman"/>
          <w:color w:val="auto"/>
          <w:sz w:val="16"/>
          <w:szCs w:val="16"/>
          <w:lang w:val="en-GB"/>
        </w:rPr>
        <w:t xml:space="preserve">, including EU funds. </w:t>
      </w:r>
      <w:r w:rsidR="008834AE" w:rsidRPr="00B2443A">
        <w:rPr>
          <w:rFonts w:ascii="Verdana" w:eastAsia="Verdana" w:hAnsi="Verdana" w:cs="Times New Roman"/>
          <w:color w:val="auto"/>
          <w:sz w:val="16"/>
          <w:szCs w:val="16"/>
          <w:lang w:val="en-GB"/>
        </w:rPr>
        <w:t xml:space="preserve">The Administrator uses Microsoft 365, which may result in the transfer of your personal data to a third country. The terms of use of Online Services for Microsoft 365 and obligations regarding the processing and securing of user data and personal data by online services are defined </w:t>
      </w:r>
      <w:r>
        <w:rPr>
          <w:rFonts w:ascii="Verdana" w:eastAsia="Verdana" w:hAnsi="Verdana" w:cs="Times New Roman"/>
          <w:color w:val="auto"/>
          <w:sz w:val="16"/>
          <w:szCs w:val="16"/>
          <w:lang w:val="en-GB"/>
        </w:rPr>
        <w:t>by</w:t>
      </w:r>
      <w:r w:rsidR="008834AE" w:rsidRPr="00B2443A">
        <w:rPr>
          <w:rFonts w:ascii="Verdana" w:eastAsia="Verdana" w:hAnsi="Verdana" w:cs="Times New Roman"/>
          <w:color w:val="auto"/>
          <w:sz w:val="16"/>
          <w:szCs w:val="16"/>
          <w:lang w:val="en-GB"/>
        </w:rPr>
        <w:t xml:space="preserve"> Microsoft, including in particular: a) privacy statement - https://privacy.microsoft.com/en-us/privacystatement; b) Microsoft Services Agreement (MSA) - https://www.microsoft.com/en-us/servicesagreement/. Microsoft 365 complies with international standards for protection standards, confirmed by the ISO/IEC 27001:2005 certificate. The service is also subject to regular audits. The service holds a certificate of compliance with the ISO 27018 cloud data protection standard, meaning that customer data stored in the cloud will not be used for marketing purposes without their knowledge</w:t>
      </w:r>
      <w:r w:rsidR="00AB62B4" w:rsidRPr="008834AE">
        <w:rPr>
          <w:rFonts w:ascii="Verdana" w:eastAsia="Times New Roman" w:hAnsi="Verdana" w:cs="Times New Roman"/>
          <w:color w:val="auto"/>
          <w:spacing w:val="0"/>
          <w:sz w:val="16"/>
          <w:szCs w:val="16"/>
          <w:lang w:val="en-GB" w:eastAsia="pl-PL"/>
        </w:rPr>
        <w:t>.</w:t>
      </w:r>
    </w:p>
    <w:p w14:paraId="3232A7A2" w14:textId="723FA0AA" w:rsidR="00E8727B" w:rsidRPr="004B1D4F" w:rsidRDefault="004B1D4F" w:rsidP="00AB62B4">
      <w:pPr>
        <w:numPr>
          <w:ilvl w:val="0"/>
          <w:numId w:val="2"/>
        </w:numPr>
        <w:spacing w:after="0" w:line="276" w:lineRule="auto"/>
        <w:ind w:left="567" w:hanging="567"/>
        <w:rPr>
          <w:rFonts w:ascii="Verdana" w:eastAsia="Verdana" w:hAnsi="Verdana" w:cs="Times New Roman"/>
          <w:color w:val="auto"/>
          <w:sz w:val="16"/>
          <w:szCs w:val="16"/>
          <w:lang w:val="en-GB"/>
        </w:rPr>
      </w:pPr>
      <w:r w:rsidRPr="00B2443A">
        <w:rPr>
          <w:rFonts w:ascii="Verdana" w:eastAsia="Verdana" w:hAnsi="Verdana" w:cs="Times New Roman"/>
          <w:color w:val="auto"/>
          <w:sz w:val="16"/>
          <w:szCs w:val="16"/>
          <w:lang w:val="en-GB"/>
        </w:rPr>
        <w:t>The data processing period is the time of carrying out activities aimed at conducting preliminary market consultations and, after their completion, a period of 4 years from the date of completion of the public procurement procedure which these consultations relate</w:t>
      </w:r>
      <w:r>
        <w:rPr>
          <w:rFonts w:ascii="Verdana" w:eastAsia="Verdana" w:hAnsi="Verdana" w:cs="Times New Roman"/>
          <w:color w:val="auto"/>
          <w:sz w:val="16"/>
          <w:szCs w:val="16"/>
          <w:lang w:val="en-GB"/>
        </w:rPr>
        <w:t xml:space="preserve"> to</w:t>
      </w:r>
      <w:r w:rsidRPr="00B2443A">
        <w:rPr>
          <w:rFonts w:ascii="Verdana" w:eastAsia="Verdana" w:hAnsi="Verdana" w:cs="Times New Roman"/>
          <w:color w:val="auto"/>
          <w:sz w:val="16"/>
          <w:szCs w:val="16"/>
          <w:lang w:val="en-GB"/>
        </w:rPr>
        <w:t xml:space="preserve">, and the archival period in accordance with applicable laws. </w:t>
      </w:r>
      <w:r>
        <w:rPr>
          <w:rFonts w:ascii="Verdana" w:eastAsia="Verdana" w:hAnsi="Verdana" w:cs="Times New Roman"/>
          <w:color w:val="auto"/>
          <w:sz w:val="16"/>
          <w:szCs w:val="16"/>
          <w:lang w:val="en-GB"/>
        </w:rPr>
        <w:t xml:space="preserve">Whichever period is longer, it is applied. </w:t>
      </w:r>
    </w:p>
    <w:p w14:paraId="5C55C5C5" w14:textId="31AD5B55" w:rsidR="00E8727B" w:rsidRPr="004B1D4F" w:rsidRDefault="004B1D4F" w:rsidP="00186111">
      <w:pPr>
        <w:numPr>
          <w:ilvl w:val="0"/>
          <w:numId w:val="2"/>
        </w:numPr>
        <w:spacing w:after="0" w:line="276" w:lineRule="auto"/>
        <w:ind w:left="567" w:hanging="567"/>
        <w:rPr>
          <w:rFonts w:ascii="Verdana" w:eastAsia="Verdana" w:hAnsi="Verdana" w:cs="Times New Roman"/>
          <w:color w:val="auto"/>
          <w:sz w:val="16"/>
          <w:szCs w:val="16"/>
          <w:lang w:val="en-GB"/>
        </w:rPr>
      </w:pPr>
      <w:r w:rsidRPr="00B2443A">
        <w:rPr>
          <w:rFonts w:ascii="Verdana" w:eastAsia="Verdana" w:hAnsi="Verdana" w:cs="Times New Roman"/>
          <w:color w:val="auto"/>
          <w:sz w:val="16"/>
          <w:szCs w:val="16"/>
          <w:lang w:val="en-GB"/>
        </w:rPr>
        <w:t>In relation to personal data, decisions will not be made in an automated manner, a</w:t>
      </w:r>
      <w:r>
        <w:rPr>
          <w:rFonts w:ascii="Verdana" w:eastAsia="Verdana" w:hAnsi="Verdana" w:cs="Times New Roman"/>
          <w:color w:val="auto"/>
          <w:sz w:val="16"/>
          <w:szCs w:val="16"/>
          <w:lang w:val="en-GB"/>
        </w:rPr>
        <w:t>ccording</w:t>
      </w:r>
      <w:r w:rsidRPr="00B2443A">
        <w:rPr>
          <w:rFonts w:ascii="Verdana" w:eastAsia="Verdana" w:hAnsi="Verdana" w:cs="Times New Roman"/>
          <w:color w:val="auto"/>
          <w:sz w:val="16"/>
          <w:szCs w:val="16"/>
          <w:lang w:val="en-GB"/>
        </w:rPr>
        <w:t xml:space="preserve"> to Article 22 of the GDPR</w:t>
      </w:r>
      <w:r w:rsidR="00E8727B" w:rsidRPr="004B1D4F">
        <w:rPr>
          <w:rFonts w:ascii="Verdana" w:eastAsia="Verdana" w:hAnsi="Verdana" w:cs="Times New Roman"/>
          <w:color w:val="auto"/>
          <w:sz w:val="16"/>
          <w:szCs w:val="16"/>
          <w:lang w:val="en-GB"/>
        </w:rPr>
        <w:t xml:space="preserve">. </w:t>
      </w:r>
    </w:p>
    <w:p w14:paraId="61910130" w14:textId="0572832A" w:rsidR="00E8727B" w:rsidRPr="004B1D4F" w:rsidRDefault="004B1D4F" w:rsidP="00186111">
      <w:pPr>
        <w:numPr>
          <w:ilvl w:val="0"/>
          <w:numId w:val="2"/>
        </w:numPr>
        <w:spacing w:after="0" w:line="276" w:lineRule="auto"/>
        <w:ind w:left="567" w:hanging="567"/>
        <w:rPr>
          <w:rFonts w:ascii="Verdana" w:eastAsia="Verdana" w:hAnsi="Verdana" w:cs="Times New Roman"/>
          <w:color w:val="auto"/>
          <w:sz w:val="16"/>
          <w:szCs w:val="16"/>
          <w:lang w:val="en-GB"/>
        </w:rPr>
      </w:pPr>
      <w:r w:rsidRPr="004B1D4F">
        <w:rPr>
          <w:rFonts w:ascii="Verdana" w:eastAsia="Verdana" w:hAnsi="Verdana" w:cs="Times New Roman"/>
          <w:color w:val="auto"/>
          <w:sz w:val="16"/>
          <w:szCs w:val="16"/>
          <w:lang w:val="en-GB"/>
        </w:rPr>
        <w:t>T</w:t>
      </w:r>
      <w:r w:rsidRPr="004B1D4F">
        <w:rPr>
          <w:rFonts w:ascii="Verdana" w:eastAsia="Verdana" w:hAnsi="Verdana" w:cs="Times New Roman"/>
          <w:color w:val="auto"/>
          <w:sz w:val="16"/>
          <w:szCs w:val="16"/>
          <w:lang w:val="en-GB"/>
        </w:rPr>
        <w:t xml:space="preserve">he Contractor (participant in Preliminary </w:t>
      </w:r>
      <w:r w:rsidR="00E61974">
        <w:rPr>
          <w:rFonts w:ascii="Verdana" w:eastAsia="Verdana" w:hAnsi="Verdana" w:cs="Times New Roman"/>
          <w:color w:val="auto"/>
          <w:sz w:val="16"/>
          <w:szCs w:val="16"/>
          <w:lang w:val="en-GB"/>
        </w:rPr>
        <w:t>m</w:t>
      </w:r>
      <w:r w:rsidRPr="004B1D4F">
        <w:rPr>
          <w:rFonts w:ascii="Verdana" w:eastAsia="Verdana" w:hAnsi="Verdana" w:cs="Times New Roman"/>
          <w:color w:val="auto"/>
          <w:sz w:val="16"/>
          <w:szCs w:val="16"/>
          <w:lang w:val="en-GB"/>
        </w:rPr>
        <w:t xml:space="preserve">arket </w:t>
      </w:r>
      <w:r w:rsidR="00E61974">
        <w:rPr>
          <w:rFonts w:ascii="Verdana" w:eastAsia="Verdana" w:hAnsi="Verdana" w:cs="Times New Roman"/>
          <w:color w:val="auto"/>
          <w:sz w:val="16"/>
          <w:szCs w:val="16"/>
          <w:lang w:val="en-GB"/>
        </w:rPr>
        <w:t>c</w:t>
      </w:r>
      <w:r w:rsidRPr="004B1D4F">
        <w:rPr>
          <w:rFonts w:ascii="Verdana" w:eastAsia="Verdana" w:hAnsi="Verdana" w:cs="Times New Roman"/>
          <w:color w:val="auto"/>
          <w:sz w:val="16"/>
          <w:szCs w:val="16"/>
          <w:lang w:val="en-GB"/>
        </w:rPr>
        <w:t>onsultations) has</w:t>
      </w:r>
      <w:r w:rsidR="00E8727B" w:rsidRPr="004B1D4F">
        <w:rPr>
          <w:rFonts w:ascii="Verdana" w:eastAsia="Verdana" w:hAnsi="Verdana" w:cs="Times New Roman"/>
          <w:color w:val="auto"/>
          <w:sz w:val="16"/>
          <w:szCs w:val="16"/>
          <w:lang w:val="en-GB"/>
        </w:rPr>
        <w:t>:</w:t>
      </w:r>
    </w:p>
    <w:p w14:paraId="12E77A7D" w14:textId="53A4CA8C" w:rsidR="00E8727B" w:rsidRPr="00E61974" w:rsidRDefault="00E61974" w:rsidP="00186111">
      <w:pPr>
        <w:numPr>
          <w:ilvl w:val="0"/>
          <w:numId w:val="5"/>
        </w:numPr>
        <w:spacing w:after="0" w:line="276" w:lineRule="auto"/>
        <w:ind w:left="1134" w:hanging="567"/>
        <w:rPr>
          <w:rFonts w:ascii="Verdana" w:eastAsia="Verdana" w:hAnsi="Verdana" w:cs="Times New Roman"/>
          <w:color w:val="auto"/>
          <w:sz w:val="16"/>
          <w:szCs w:val="16"/>
          <w:lang w:val="en-GB"/>
        </w:rPr>
      </w:pPr>
      <w:r w:rsidRPr="00E61974">
        <w:rPr>
          <w:rFonts w:ascii="Verdana" w:hAnsi="Verdana"/>
          <w:color w:val="auto"/>
          <w:sz w:val="16"/>
          <w:szCs w:val="16"/>
          <w:lang w:val="en-GB"/>
        </w:rPr>
        <w:t>the right of access to the provided personal data under Article 15 of the GDPR</w:t>
      </w:r>
      <w:r w:rsidR="00E8727B" w:rsidRPr="00E61974">
        <w:rPr>
          <w:rFonts w:ascii="Verdana" w:eastAsia="Verdana" w:hAnsi="Verdana" w:cs="Times New Roman"/>
          <w:color w:val="auto"/>
          <w:sz w:val="16"/>
          <w:szCs w:val="16"/>
          <w:lang w:val="en-GB"/>
        </w:rPr>
        <w:t>;</w:t>
      </w:r>
    </w:p>
    <w:p w14:paraId="5552BE0A" w14:textId="18CEE485" w:rsidR="00E8727B" w:rsidRPr="00A73ACA" w:rsidRDefault="00A73ACA" w:rsidP="00186111">
      <w:pPr>
        <w:numPr>
          <w:ilvl w:val="0"/>
          <w:numId w:val="5"/>
        </w:numPr>
        <w:spacing w:after="0" w:line="276" w:lineRule="auto"/>
        <w:ind w:left="1134" w:hanging="567"/>
        <w:rPr>
          <w:rFonts w:ascii="Verdana" w:eastAsia="Verdana" w:hAnsi="Verdana" w:cs="Times New Roman"/>
          <w:color w:val="auto"/>
          <w:sz w:val="16"/>
          <w:szCs w:val="16"/>
          <w:lang w:val="en-GB"/>
        </w:rPr>
      </w:pPr>
      <w:r w:rsidRPr="00E61974">
        <w:rPr>
          <w:rFonts w:ascii="Verdana" w:hAnsi="Verdana"/>
          <w:color w:val="auto"/>
          <w:sz w:val="16"/>
          <w:szCs w:val="16"/>
          <w:lang w:val="en-GB"/>
        </w:rPr>
        <w:t>the right to rectify the provided personal data under Article 16 of the GDPR (exercising the right to rectification cannot result in a change in the outcome of the public procurement procedure or a change in the provisions of the contract inconsistent with the PP</w:t>
      </w:r>
      <w:r>
        <w:rPr>
          <w:rFonts w:ascii="Verdana" w:hAnsi="Verdana"/>
          <w:color w:val="auto"/>
          <w:sz w:val="16"/>
          <w:szCs w:val="16"/>
          <w:lang w:val="en-GB"/>
        </w:rPr>
        <w:t>L</w:t>
      </w:r>
      <w:r w:rsidRPr="00E61974">
        <w:rPr>
          <w:rFonts w:ascii="Verdana" w:hAnsi="Verdana"/>
          <w:color w:val="auto"/>
          <w:sz w:val="16"/>
          <w:szCs w:val="16"/>
          <w:lang w:val="en-GB"/>
        </w:rPr>
        <w:t>, and cannot violate the integrity of the protocol and its annexes)</w:t>
      </w:r>
      <w:r w:rsidR="00E8727B" w:rsidRPr="00A73ACA">
        <w:rPr>
          <w:rFonts w:ascii="Verdana" w:eastAsia="Verdana" w:hAnsi="Verdana" w:cs="Times New Roman"/>
          <w:color w:val="auto"/>
          <w:sz w:val="16"/>
          <w:szCs w:val="16"/>
          <w:lang w:val="en-GB"/>
        </w:rPr>
        <w:t>;</w:t>
      </w:r>
    </w:p>
    <w:p w14:paraId="62515B0D" w14:textId="0B2EFA7C" w:rsidR="00E8727B" w:rsidRPr="00A73ACA" w:rsidRDefault="00A73ACA" w:rsidP="00186111">
      <w:pPr>
        <w:numPr>
          <w:ilvl w:val="0"/>
          <w:numId w:val="5"/>
        </w:numPr>
        <w:spacing w:after="0" w:line="276" w:lineRule="auto"/>
        <w:ind w:left="1134" w:hanging="567"/>
        <w:rPr>
          <w:rFonts w:ascii="Verdana" w:eastAsia="Verdana" w:hAnsi="Verdana" w:cs="Times New Roman"/>
          <w:color w:val="auto"/>
          <w:sz w:val="16"/>
          <w:szCs w:val="16"/>
          <w:lang w:val="en-GB"/>
        </w:rPr>
      </w:pPr>
      <w:r w:rsidRPr="00A73ACA">
        <w:rPr>
          <w:rFonts w:ascii="Verdana" w:hAnsi="Verdana"/>
          <w:color w:val="auto"/>
          <w:sz w:val="16"/>
          <w:szCs w:val="16"/>
          <w:lang w:val="en-GB"/>
        </w:rPr>
        <w:t xml:space="preserve">the right, based on Article 18 of the GDPR, to request the Administrator to limit the processing of personal data, </w:t>
      </w:r>
      <w:r w:rsidRPr="00A73ACA">
        <w:rPr>
          <w:rFonts w:ascii="Verdana" w:hAnsi="Verdana"/>
          <w:color w:val="auto"/>
          <w:sz w:val="16"/>
          <w:szCs w:val="16"/>
          <w:lang w:val="en-GB"/>
        </w:rPr>
        <w:t>excluding</w:t>
      </w:r>
      <w:r w:rsidRPr="00A73ACA">
        <w:rPr>
          <w:rFonts w:ascii="Verdana" w:hAnsi="Verdana"/>
          <w:color w:val="auto"/>
          <w:sz w:val="16"/>
          <w:szCs w:val="16"/>
          <w:lang w:val="en-GB"/>
        </w:rPr>
        <w:t xml:space="preserve"> the cases specified in Article 18(2) of the GDPR (the right to limit processing does not apply to storage, to ensure the use of legal protection measures or to protect the rights of another natural or legal person, or for important reasons of the public interest of the European Union or a Member State)</w:t>
      </w:r>
      <w:r w:rsidR="00E8727B" w:rsidRPr="00A73ACA">
        <w:rPr>
          <w:rFonts w:ascii="Verdana" w:eastAsia="Verdana" w:hAnsi="Verdana" w:cs="Times New Roman"/>
          <w:color w:val="auto"/>
          <w:sz w:val="16"/>
          <w:szCs w:val="16"/>
          <w:lang w:val="en-GB"/>
        </w:rPr>
        <w:t>;</w:t>
      </w:r>
    </w:p>
    <w:p w14:paraId="2C4139D3" w14:textId="18B6C6CD" w:rsidR="00CB569A" w:rsidRPr="00A73ACA" w:rsidRDefault="00A73ACA" w:rsidP="00CB569A">
      <w:pPr>
        <w:numPr>
          <w:ilvl w:val="0"/>
          <w:numId w:val="5"/>
        </w:numPr>
        <w:spacing w:after="0" w:line="276" w:lineRule="auto"/>
        <w:ind w:left="1134" w:hanging="567"/>
        <w:rPr>
          <w:rFonts w:ascii="Verdana" w:eastAsia="Verdana" w:hAnsi="Verdana" w:cs="Times New Roman"/>
          <w:color w:val="auto"/>
          <w:sz w:val="16"/>
          <w:szCs w:val="16"/>
          <w:lang w:val="en-GB"/>
        </w:rPr>
      </w:pPr>
      <w:r w:rsidRPr="00E61974">
        <w:rPr>
          <w:rFonts w:ascii="Verdana" w:hAnsi="Verdana"/>
          <w:color w:val="auto"/>
          <w:sz w:val="16"/>
          <w:szCs w:val="16"/>
          <w:lang w:val="en-GB"/>
        </w:rPr>
        <w:t>the right to lodge a complaint with the President of the Personal Data Protection Office regarding the processing of data by the Administrator (Personal Data Protection Office: Stawki 2, 00-193 Warsaw, tel. 22 531 03 00, fax. 22 531 03 01, https://uodo.gov.pl/en/p/contact</w:t>
      </w:r>
      <w:r w:rsidR="00AB62B4" w:rsidRPr="00A73ACA">
        <w:rPr>
          <w:rStyle w:val="normaltextrun"/>
          <w:rFonts w:ascii="Verdana" w:hAnsi="Verdana"/>
          <w:color w:val="auto"/>
          <w:sz w:val="16"/>
          <w:szCs w:val="16"/>
          <w:bdr w:val="none" w:sz="0" w:space="0" w:color="auto" w:frame="1"/>
          <w:lang w:val="en-GB"/>
        </w:rPr>
        <w:t>)</w:t>
      </w:r>
      <w:r w:rsidR="00AB62B4" w:rsidRPr="00A73ACA">
        <w:rPr>
          <w:rFonts w:ascii="Verdana" w:eastAsia="Verdana" w:hAnsi="Verdana" w:cs="Times New Roman"/>
          <w:color w:val="auto"/>
          <w:sz w:val="16"/>
          <w:szCs w:val="16"/>
          <w:lang w:val="en-GB"/>
        </w:rPr>
        <w:t>;</w:t>
      </w:r>
    </w:p>
    <w:p w14:paraId="0DD05B8D" w14:textId="57F4ABC6" w:rsidR="00CB569A" w:rsidRPr="00A73ACA" w:rsidRDefault="00A73ACA" w:rsidP="00CB569A">
      <w:pPr>
        <w:numPr>
          <w:ilvl w:val="0"/>
          <w:numId w:val="5"/>
        </w:numPr>
        <w:spacing w:after="0" w:line="276" w:lineRule="auto"/>
        <w:ind w:left="1134" w:hanging="567"/>
        <w:rPr>
          <w:rFonts w:ascii="Verdana" w:eastAsia="Verdana" w:hAnsi="Verdana" w:cs="Times New Roman"/>
          <w:color w:val="auto"/>
          <w:sz w:val="16"/>
          <w:szCs w:val="16"/>
          <w:lang w:val="en-GB"/>
        </w:rPr>
      </w:pPr>
      <w:r w:rsidRPr="00973642">
        <w:rPr>
          <w:rFonts w:ascii="Verdana" w:hAnsi="Verdana"/>
          <w:color w:val="auto"/>
          <w:sz w:val="16"/>
          <w:szCs w:val="16"/>
          <w:lang w:val="en-GB"/>
        </w:rPr>
        <w:t xml:space="preserve">the right to withdraw their voluntarily given consent to processing at any time – if processing is based on consent. </w:t>
      </w:r>
      <w:r w:rsidRPr="00E61974">
        <w:rPr>
          <w:rFonts w:ascii="Verdana" w:hAnsi="Verdana"/>
          <w:color w:val="auto"/>
          <w:sz w:val="16"/>
          <w:szCs w:val="16"/>
          <w:lang w:val="en-GB"/>
        </w:rPr>
        <w:t>The withdrawal of this consent does not affect the processing carried out on this basis before its withdrawal. As a rule, in this proceeding - market consultations - your data will not be processed based on consent, so this right generally does not apply</w:t>
      </w:r>
      <w:r w:rsidR="00CB569A" w:rsidRPr="00A73ACA">
        <w:rPr>
          <w:rFonts w:eastAsia="Verdana" w:cs="Times New Roman"/>
          <w:color w:val="auto"/>
          <w:szCs w:val="20"/>
          <w:lang w:val="en-GB"/>
        </w:rPr>
        <w:t>.</w:t>
      </w:r>
    </w:p>
    <w:p w14:paraId="49417054" w14:textId="61CBA6C9" w:rsidR="00E8727B" w:rsidRPr="00973642" w:rsidRDefault="00973642" w:rsidP="00A06E31">
      <w:pPr>
        <w:numPr>
          <w:ilvl w:val="0"/>
          <w:numId w:val="2"/>
        </w:numPr>
        <w:spacing w:after="0" w:line="276" w:lineRule="auto"/>
        <w:ind w:left="567" w:hanging="567"/>
        <w:rPr>
          <w:rFonts w:ascii="Verdana" w:eastAsia="Verdana" w:hAnsi="Verdana" w:cs="Times New Roman"/>
          <w:color w:val="auto"/>
          <w:sz w:val="16"/>
          <w:szCs w:val="16"/>
          <w:lang w:val="en-GB"/>
        </w:rPr>
      </w:pPr>
      <w:r w:rsidRPr="00E61974">
        <w:rPr>
          <w:rFonts w:ascii="Verdana" w:hAnsi="Verdana"/>
          <w:color w:val="auto"/>
          <w:sz w:val="16"/>
          <w:szCs w:val="16"/>
          <w:lang w:val="en-GB"/>
        </w:rPr>
        <w:t>The participant in preliminary market consultations does not have</w:t>
      </w:r>
      <w:r w:rsidR="00E8727B" w:rsidRPr="00973642">
        <w:rPr>
          <w:rFonts w:ascii="Verdana" w:eastAsia="Verdana" w:hAnsi="Verdana" w:cs="Times New Roman"/>
          <w:color w:val="auto"/>
          <w:sz w:val="16"/>
          <w:szCs w:val="16"/>
          <w:lang w:val="en-GB"/>
        </w:rPr>
        <w:t xml:space="preserve">: </w:t>
      </w:r>
    </w:p>
    <w:p w14:paraId="6E7F24FF" w14:textId="2B5B9B22" w:rsidR="00E8727B" w:rsidRPr="00973642" w:rsidRDefault="00973642" w:rsidP="00A06E31">
      <w:pPr>
        <w:numPr>
          <w:ilvl w:val="0"/>
          <w:numId w:val="3"/>
        </w:numPr>
        <w:spacing w:after="0" w:line="276" w:lineRule="auto"/>
        <w:ind w:left="1134" w:hanging="567"/>
        <w:rPr>
          <w:rFonts w:ascii="Verdana" w:eastAsia="Verdana" w:hAnsi="Verdana" w:cs="Times New Roman"/>
          <w:color w:val="auto"/>
          <w:sz w:val="16"/>
          <w:szCs w:val="16"/>
          <w:lang w:val="en-GB"/>
        </w:rPr>
      </w:pPr>
      <w:r w:rsidRPr="00E61974">
        <w:rPr>
          <w:rFonts w:ascii="Verdana" w:hAnsi="Verdana"/>
          <w:color w:val="auto"/>
          <w:sz w:val="16"/>
          <w:szCs w:val="16"/>
          <w:lang w:val="en-GB"/>
        </w:rPr>
        <w:t xml:space="preserve">the right to erasure of data (right to be forgotten), to the extent specified in Article 17(3) lit. b, d, or e of the GDPR, as long as the processing of your data is based on Article 6(1) lit. c of the GDPR (it is limited because it is processing for purposes arising from legal provisions – the </w:t>
      </w:r>
      <w:r>
        <w:rPr>
          <w:rFonts w:ascii="Verdana" w:hAnsi="Verdana"/>
          <w:color w:val="auto"/>
          <w:sz w:val="16"/>
          <w:szCs w:val="16"/>
          <w:lang w:val="en-GB"/>
        </w:rPr>
        <w:t>Contracting</w:t>
      </w:r>
      <w:r w:rsidRPr="00E61974">
        <w:rPr>
          <w:rFonts w:ascii="Verdana" w:hAnsi="Verdana"/>
          <w:color w:val="auto"/>
          <w:sz w:val="16"/>
          <w:szCs w:val="16"/>
          <w:lang w:val="en-GB"/>
        </w:rPr>
        <w:t xml:space="preserve"> Party must process this data in accordance with the law</w:t>
      </w:r>
      <w:r>
        <w:rPr>
          <w:rFonts w:ascii="Verdana" w:hAnsi="Verdana"/>
          <w:color w:val="auto"/>
          <w:sz w:val="16"/>
          <w:szCs w:val="16"/>
          <w:lang w:val="en-GB"/>
        </w:rPr>
        <w:t>)</w:t>
      </w:r>
      <w:r w:rsidR="00A06E31" w:rsidRPr="00973642">
        <w:rPr>
          <w:rFonts w:ascii="Verdana" w:eastAsia="Verdana" w:hAnsi="Verdana" w:cs="Times New Roman"/>
          <w:color w:val="auto"/>
          <w:sz w:val="16"/>
          <w:szCs w:val="16"/>
          <w:lang w:val="en-GB"/>
        </w:rPr>
        <w:t>;</w:t>
      </w:r>
    </w:p>
    <w:p w14:paraId="1EBB4CB7" w14:textId="29921AB6" w:rsidR="00E8727B" w:rsidRPr="00973642" w:rsidRDefault="00973642" w:rsidP="00A06E31">
      <w:pPr>
        <w:numPr>
          <w:ilvl w:val="0"/>
          <w:numId w:val="3"/>
        </w:numPr>
        <w:spacing w:after="0" w:line="276" w:lineRule="auto"/>
        <w:ind w:left="1134" w:hanging="567"/>
        <w:rPr>
          <w:rFonts w:ascii="Verdana" w:eastAsia="Verdana" w:hAnsi="Verdana" w:cs="Times New Roman"/>
          <w:color w:val="auto"/>
          <w:sz w:val="16"/>
          <w:szCs w:val="16"/>
          <w:lang w:val="en-GB"/>
        </w:rPr>
      </w:pPr>
      <w:r w:rsidRPr="00E61974">
        <w:rPr>
          <w:rFonts w:ascii="Verdana" w:hAnsi="Verdana"/>
          <w:color w:val="auto"/>
          <w:sz w:val="16"/>
          <w:szCs w:val="16"/>
          <w:lang w:val="en-GB"/>
        </w:rPr>
        <w:t>the right to data portability, as specified in Article 20(1) of the GDPR, to the extent specified in Article 20(3) sentence 2 of the GDPR for the performance of a public interest and is subject to restrictions</w:t>
      </w:r>
      <w:r w:rsidR="00E8727B" w:rsidRPr="00973642">
        <w:rPr>
          <w:rFonts w:ascii="Verdana" w:eastAsia="Verdana" w:hAnsi="Verdana" w:cs="Times New Roman"/>
          <w:color w:val="auto"/>
          <w:sz w:val="16"/>
          <w:szCs w:val="16"/>
          <w:lang w:val="en-GB"/>
        </w:rPr>
        <w:t>;</w:t>
      </w:r>
    </w:p>
    <w:p w14:paraId="127AC88C" w14:textId="76658381" w:rsidR="00E8727B" w:rsidRPr="00973642" w:rsidRDefault="00973642" w:rsidP="00A06E31">
      <w:pPr>
        <w:numPr>
          <w:ilvl w:val="0"/>
          <w:numId w:val="3"/>
        </w:numPr>
        <w:spacing w:after="0" w:line="276" w:lineRule="auto"/>
        <w:ind w:left="1134" w:hanging="567"/>
        <w:rPr>
          <w:rFonts w:ascii="Verdana" w:eastAsia="Verdana" w:hAnsi="Verdana" w:cs="Times New Roman"/>
          <w:color w:val="auto"/>
          <w:sz w:val="16"/>
          <w:szCs w:val="16"/>
          <w:lang w:val="en-GB"/>
        </w:rPr>
      </w:pPr>
      <w:r w:rsidRPr="00E61974">
        <w:rPr>
          <w:rFonts w:ascii="Verdana" w:hAnsi="Verdana"/>
          <w:color w:val="auto"/>
          <w:sz w:val="16"/>
          <w:szCs w:val="16"/>
          <w:lang w:val="en-GB"/>
        </w:rPr>
        <w:t>the right to object to the processing of personal data, based on Article 21 of the GDPR</w:t>
      </w:r>
      <w:r>
        <w:rPr>
          <w:rFonts w:ascii="Verdana" w:hAnsi="Verdana"/>
          <w:color w:val="auto"/>
          <w:sz w:val="16"/>
          <w:szCs w:val="16"/>
          <w:lang w:val="en-GB"/>
        </w:rPr>
        <w:t>;</w:t>
      </w:r>
      <w:r w:rsidRPr="00E61974">
        <w:rPr>
          <w:rFonts w:ascii="Verdana" w:hAnsi="Verdana"/>
          <w:color w:val="auto"/>
          <w:sz w:val="16"/>
          <w:szCs w:val="16"/>
          <w:lang w:val="en-GB"/>
        </w:rPr>
        <w:t xml:space="preserve"> </w:t>
      </w:r>
      <w:r w:rsidRPr="00E61974">
        <w:rPr>
          <w:rFonts w:ascii="Verdana" w:hAnsi="Verdana"/>
          <w:color w:val="auto"/>
          <w:sz w:val="16"/>
          <w:szCs w:val="16"/>
          <w:lang w:val="en-GB"/>
        </w:rPr>
        <w:t>as long as the basis for processing your data is Article 6(1) lit. c (or subsidiarily: lit. b) of the GDPR, you do not have the right to object</w:t>
      </w:r>
      <w:r w:rsidR="00E8727B" w:rsidRPr="00973642">
        <w:rPr>
          <w:rFonts w:ascii="Verdana" w:eastAsia="Verdana" w:hAnsi="Verdana" w:cs="Times New Roman"/>
          <w:color w:val="auto"/>
          <w:sz w:val="16"/>
          <w:szCs w:val="16"/>
          <w:lang w:val="en-GB"/>
        </w:rPr>
        <w:t>.</w:t>
      </w:r>
    </w:p>
    <w:p w14:paraId="0B6C61F4" w14:textId="5B374CDE" w:rsidR="00E8727B" w:rsidRPr="00973642" w:rsidRDefault="00973642" w:rsidP="00186111">
      <w:pPr>
        <w:numPr>
          <w:ilvl w:val="0"/>
          <w:numId w:val="2"/>
        </w:numPr>
        <w:spacing w:after="0" w:line="276" w:lineRule="auto"/>
        <w:ind w:left="567" w:hanging="567"/>
        <w:rPr>
          <w:rFonts w:ascii="Verdana" w:eastAsia="Verdana" w:hAnsi="Verdana" w:cs="Times New Roman"/>
          <w:color w:val="auto"/>
          <w:sz w:val="16"/>
          <w:szCs w:val="16"/>
          <w:lang w:val="en-GB"/>
        </w:rPr>
      </w:pPr>
      <w:r w:rsidRPr="00E61974">
        <w:rPr>
          <w:rFonts w:ascii="Verdana" w:hAnsi="Verdana"/>
          <w:color w:val="auto"/>
          <w:sz w:val="16"/>
          <w:szCs w:val="16"/>
          <w:lang w:val="en-GB"/>
        </w:rPr>
        <w:t xml:space="preserve">The </w:t>
      </w:r>
      <w:r>
        <w:rPr>
          <w:rFonts w:ascii="Verdana" w:hAnsi="Verdana"/>
          <w:color w:val="auto"/>
          <w:sz w:val="16"/>
          <w:szCs w:val="16"/>
          <w:lang w:val="en-GB"/>
        </w:rPr>
        <w:t>Contracting</w:t>
      </w:r>
      <w:r w:rsidRPr="00E61974">
        <w:rPr>
          <w:rFonts w:ascii="Verdana" w:hAnsi="Verdana"/>
          <w:color w:val="auto"/>
          <w:sz w:val="16"/>
          <w:szCs w:val="16"/>
          <w:lang w:val="en-GB"/>
        </w:rPr>
        <w:t xml:space="preserve"> Party (organizer of Preliminary </w:t>
      </w:r>
      <w:r>
        <w:rPr>
          <w:rFonts w:ascii="Verdana" w:hAnsi="Verdana"/>
          <w:color w:val="auto"/>
          <w:sz w:val="16"/>
          <w:szCs w:val="16"/>
          <w:lang w:val="en-GB"/>
        </w:rPr>
        <w:t>m</w:t>
      </w:r>
      <w:r w:rsidRPr="00E61974">
        <w:rPr>
          <w:rFonts w:ascii="Verdana" w:hAnsi="Verdana"/>
          <w:color w:val="auto"/>
          <w:sz w:val="16"/>
          <w:szCs w:val="16"/>
          <w:lang w:val="en-GB"/>
        </w:rPr>
        <w:t xml:space="preserve">arket </w:t>
      </w:r>
      <w:r>
        <w:rPr>
          <w:rFonts w:ascii="Verdana" w:hAnsi="Verdana"/>
          <w:color w:val="auto"/>
          <w:sz w:val="16"/>
          <w:szCs w:val="16"/>
          <w:lang w:val="en-GB"/>
        </w:rPr>
        <w:t>c</w:t>
      </w:r>
      <w:r w:rsidRPr="00E61974">
        <w:rPr>
          <w:rFonts w:ascii="Verdana" w:hAnsi="Verdana"/>
          <w:color w:val="auto"/>
          <w:sz w:val="16"/>
          <w:szCs w:val="16"/>
          <w:lang w:val="en-GB"/>
        </w:rPr>
        <w:t>onsultations), acting by analogy to Article 19(4) of the PP</w:t>
      </w:r>
      <w:r>
        <w:rPr>
          <w:rFonts w:ascii="Verdana" w:hAnsi="Verdana"/>
          <w:color w:val="auto"/>
          <w:sz w:val="16"/>
          <w:szCs w:val="16"/>
          <w:lang w:val="en-GB"/>
        </w:rPr>
        <w:t>L</w:t>
      </w:r>
      <w:r w:rsidRPr="00E61974">
        <w:rPr>
          <w:rFonts w:ascii="Verdana" w:hAnsi="Verdana"/>
          <w:color w:val="auto"/>
          <w:sz w:val="16"/>
          <w:szCs w:val="16"/>
          <w:lang w:val="en-GB"/>
        </w:rPr>
        <w:t>, informs that</w:t>
      </w:r>
      <w:r w:rsidR="00E8727B" w:rsidRPr="00973642">
        <w:rPr>
          <w:rFonts w:ascii="Verdana" w:eastAsia="Verdana" w:hAnsi="Verdana" w:cs="Times New Roman"/>
          <w:color w:val="auto"/>
          <w:sz w:val="16"/>
          <w:szCs w:val="16"/>
          <w:lang w:val="en-GB"/>
        </w:rPr>
        <w:t>:</w:t>
      </w:r>
    </w:p>
    <w:p w14:paraId="4C9A6CDA" w14:textId="20D2FFFC" w:rsidR="00AD1AFA" w:rsidRPr="00973642" w:rsidRDefault="00E400E4" w:rsidP="00186111">
      <w:pPr>
        <w:numPr>
          <w:ilvl w:val="0"/>
          <w:numId w:val="3"/>
        </w:numPr>
        <w:spacing w:after="0" w:line="276" w:lineRule="auto"/>
        <w:ind w:left="1134" w:hanging="567"/>
        <w:rPr>
          <w:rFonts w:ascii="Verdana" w:eastAsia="Verdana" w:hAnsi="Verdana" w:cs="Times New Roman"/>
          <w:color w:val="auto"/>
          <w:sz w:val="16"/>
          <w:szCs w:val="16"/>
          <w:lang w:val="en-GB"/>
        </w:rPr>
      </w:pPr>
      <w:r>
        <w:rPr>
          <w:rFonts w:ascii="Verdana" w:hAnsi="Verdana"/>
          <w:color w:val="auto"/>
          <w:sz w:val="16"/>
          <w:szCs w:val="16"/>
          <w:lang w:val="en-GB"/>
        </w:rPr>
        <w:t>t</w:t>
      </w:r>
      <w:r w:rsidR="00973642" w:rsidRPr="00E61974">
        <w:rPr>
          <w:rFonts w:ascii="Verdana" w:hAnsi="Verdana"/>
          <w:color w:val="auto"/>
          <w:sz w:val="16"/>
          <w:szCs w:val="16"/>
          <w:lang w:val="en-GB"/>
        </w:rPr>
        <w:t>he exercise of the right to rectification or supplementation under Article 16 of the GDPR by the person whose personal data it concerns</w:t>
      </w:r>
      <w:r w:rsidR="00973642">
        <w:rPr>
          <w:rFonts w:ascii="Verdana" w:hAnsi="Verdana"/>
          <w:color w:val="auto"/>
          <w:sz w:val="16"/>
          <w:szCs w:val="16"/>
          <w:lang w:val="en-GB"/>
        </w:rPr>
        <w:t>,</w:t>
      </w:r>
      <w:r w:rsidR="00973642" w:rsidRPr="00E61974">
        <w:rPr>
          <w:rFonts w:ascii="Verdana" w:hAnsi="Verdana"/>
          <w:color w:val="auto"/>
          <w:sz w:val="16"/>
          <w:szCs w:val="16"/>
          <w:lang w:val="en-GB"/>
        </w:rPr>
        <w:t xml:space="preserve"> cannot result in a change in the outcome of the public procurement procedure or a change in the provisions of the contract for public procurement inconsistent with the law</w:t>
      </w:r>
      <w:r w:rsidR="00AD1AFA" w:rsidRPr="00973642">
        <w:rPr>
          <w:rFonts w:ascii="Verdana" w:hAnsi="Verdana" w:cs="Open Sans"/>
          <w:color w:val="auto"/>
          <w:sz w:val="16"/>
          <w:szCs w:val="16"/>
          <w:shd w:val="clear" w:color="auto" w:fill="FFFFFF"/>
          <w:lang w:val="en-GB"/>
        </w:rPr>
        <w:t>;</w:t>
      </w:r>
    </w:p>
    <w:p w14:paraId="266DF174" w14:textId="4F2BC4CC" w:rsidR="00E8727B" w:rsidRPr="00E400E4" w:rsidRDefault="00E400E4" w:rsidP="00186111">
      <w:pPr>
        <w:numPr>
          <w:ilvl w:val="0"/>
          <w:numId w:val="3"/>
        </w:numPr>
        <w:spacing w:after="0" w:line="276" w:lineRule="auto"/>
        <w:ind w:left="1134" w:hanging="567"/>
        <w:rPr>
          <w:rFonts w:ascii="Verdana" w:eastAsia="Verdana" w:hAnsi="Verdana" w:cs="Times New Roman"/>
          <w:color w:val="auto"/>
          <w:sz w:val="16"/>
          <w:szCs w:val="16"/>
          <w:lang w:val="en-GB"/>
        </w:rPr>
      </w:pPr>
      <w:r w:rsidRPr="00E400E4">
        <w:rPr>
          <w:rFonts w:ascii="Verdana" w:hAnsi="Verdana"/>
          <w:color w:val="auto"/>
          <w:sz w:val="16"/>
          <w:szCs w:val="16"/>
          <w:lang w:val="en-GB"/>
        </w:rPr>
        <w:t>m</w:t>
      </w:r>
      <w:r w:rsidR="00973642" w:rsidRPr="00E400E4">
        <w:rPr>
          <w:rFonts w:ascii="Verdana" w:hAnsi="Verdana"/>
          <w:color w:val="auto"/>
          <w:sz w:val="16"/>
          <w:szCs w:val="16"/>
          <w:lang w:val="en-GB"/>
        </w:rPr>
        <w:t>aking a request under Article 18(1) of the GDPR does not limit the processing of personal data until the completion of the public procurement procedure, competition, preliminary market consultations, etc</w:t>
      </w:r>
      <w:r w:rsidR="00E8727B" w:rsidRPr="00E400E4">
        <w:rPr>
          <w:rFonts w:ascii="Verdana" w:eastAsia="Verdana" w:hAnsi="Verdana" w:cs="Times New Roman"/>
          <w:color w:val="auto"/>
          <w:sz w:val="16"/>
          <w:szCs w:val="16"/>
          <w:lang w:val="en-GB"/>
        </w:rPr>
        <w:t>.;</w:t>
      </w:r>
    </w:p>
    <w:p w14:paraId="62D4AAB5" w14:textId="027134DB" w:rsidR="00E8727B" w:rsidRPr="00E400E4" w:rsidRDefault="00E400E4" w:rsidP="00CB569A">
      <w:pPr>
        <w:numPr>
          <w:ilvl w:val="0"/>
          <w:numId w:val="3"/>
        </w:numPr>
        <w:spacing w:after="0" w:line="276" w:lineRule="auto"/>
        <w:ind w:left="1134" w:hanging="567"/>
        <w:rPr>
          <w:rFonts w:ascii="Verdana" w:eastAsia="Verdana" w:hAnsi="Verdana" w:cs="Times New Roman"/>
          <w:color w:val="auto"/>
          <w:sz w:val="16"/>
          <w:szCs w:val="16"/>
          <w:lang w:val="en-GB"/>
        </w:rPr>
      </w:pPr>
      <w:r>
        <w:rPr>
          <w:rFonts w:ascii="Verdana" w:hAnsi="Verdana"/>
          <w:color w:val="auto"/>
          <w:sz w:val="16"/>
          <w:szCs w:val="16"/>
          <w:lang w:val="en-GB"/>
        </w:rPr>
        <w:t>t</w:t>
      </w:r>
      <w:r w:rsidRPr="00E61974">
        <w:rPr>
          <w:rFonts w:ascii="Verdana" w:hAnsi="Verdana"/>
          <w:color w:val="auto"/>
          <w:sz w:val="16"/>
          <w:szCs w:val="16"/>
          <w:lang w:val="en-GB"/>
        </w:rPr>
        <w:t xml:space="preserve">he </w:t>
      </w:r>
      <w:r>
        <w:rPr>
          <w:rFonts w:ascii="Verdana" w:hAnsi="Verdana"/>
          <w:color w:val="auto"/>
          <w:sz w:val="16"/>
          <w:szCs w:val="16"/>
          <w:lang w:val="en-GB"/>
        </w:rPr>
        <w:t>Contracting</w:t>
      </w:r>
      <w:r w:rsidRPr="00E61974">
        <w:rPr>
          <w:rFonts w:ascii="Verdana" w:hAnsi="Verdana"/>
          <w:color w:val="auto"/>
          <w:sz w:val="16"/>
          <w:szCs w:val="16"/>
          <w:lang w:val="en-GB"/>
        </w:rPr>
        <w:t xml:space="preserve"> Party retains the record of the procurement procedure along with attachments for a period of four years from the date of completion of the procurement procedure, ensuring its integrity. If the duration of the contract exceeds four years, the </w:t>
      </w:r>
      <w:r>
        <w:rPr>
          <w:rFonts w:ascii="Verdana" w:hAnsi="Verdana"/>
          <w:color w:val="auto"/>
          <w:sz w:val="16"/>
          <w:szCs w:val="16"/>
          <w:lang w:val="en-GB"/>
        </w:rPr>
        <w:t>Contracting</w:t>
      </w:r>
      <w:r w:rsidRPr="00E61974">
        <w:rPr>
          <w:rFonts w:ascii="Verdana" w:hAnsi="Verdana"/>
          <w:color w:val="auto"/>
          <w:sz w:val="16"/>
          <w:szCs w:val="16"/>
          <w:lang w:val="en-GB"/>
        </w:rPr>
        <w:t xml:space="preserve"> Party retains the contract for the entire duration of the contract</w:t>
      </w:r>
      <w:r w:rsidR="00E8727B" w:rsidRPr="00E400E4">
        <w:rPr>
          <w:rFonts w:ascii="Verdana" w:eastAsia="Verdana" w:hAnsi="Verdana" w:cs="Times New Roman"/>
          <w:color w:val="auto"/>
          <w:sz w:val="16"/>
          <w:szCs w:val="16"/>
          <w:lang w:val="en-GB"/>
        </w:rPr>
        <w:t>.</w:t>
      </w:r>
    </w:p>
    <w:p w14:paraId="63E401CE" w14:textId="308CABDF" w:rsidR="00CB569A" w:rsidRPr="00E400E4" w:rsidRDefault="00E400E4" w:rsidP="00CB569A">
      <w:pPr>
        <w:numPr>
          <w:ilvl w:val="0"/>
          <w:numId w:val="2"/>
        </w:numPr>
        <w:spacing w:after="0" w:line="276" w:lineRule="auto"/>
        <w:ind w:left="1134" w:hanging="567"/>
        <w:rPr>
          <w:rFonts w:ascii="Verdana" w:eastAsia="Verdana" w:hAnsi="Verdana" w:cs="Times New Roman"/>
          <w:color w:val="auto"/>
          <w:sz w:val="16"/>
          <w:szCs w:val="16"/>
          <w:lang w:val="en-GB"/>
        </w:rPr>
      </w:pPr>
      <w:r w:rsidRPr="00E61974">
        <w:rPr>
          <w:rFonts w:ascii="Verdana" w:hAnsi="Verdana"/>
          <w:color w:val="auto"/>
          <w:sz w:val="16"/>
          <w:szCs w:val="16"/>
          <w:lang w:val="en-GB"/>
        </w:rPr>
        <w:t xml:space="preserve">We point out that legal provisions and the nature of preliminary market consultations conducted based on the provisions of the Public Procurement Law </w:t>
      </w:r>
      <w:r>
        <w:rPr>
          <w:rFonts w:ascii="Verdana" w:hAnsi="Verdana"/>
          <w:color w:val="auto"/>
          <w:sz w:val="16"/>
          <w:szCs w:val="16"/>
          <w:lang w:val="en-GB"/>
        </w:rPr>
        <w:t xml:space="preserve">act </w:t>
      </w:r>
      <w:r w:rsidRPr="00E61974">
        <w:rPr>
          <w:rFonts w:ascii="Verdana" w:hAnsi="Verdana"/>
          <w:color w:val="auto"/>
          <w:sz w:val="16"/>
          <w:szCs w:val="16"/>
          <w:lang w:val="en-GB"/>
        </w:rPr>
        <w:t xml:space="preserve">may impose further </w:t>
      </w:r>
      <w:r w:rsidRPr="00E61974">
        <w:rPr>
          <w:rFonts w:ascii="Verdana" w:hAnsi="Verdana"/>
          <w:color w:val="auto"/>
          <w:sz w:val="16"/>
          <w:szCs w:val="16"/>
          <w:lang w:val="en-GB"/>
        </w:rPr>
        <w:lastRenderedPageBreak/>
        <w:t>restrictions on your rights in specific cases. In case of any doubts, please contact the Data Protection Officer</w:t>
      </w:r>
      <w:r w:rsidR="00CB569A" w:rsidRPr="00E400E4">
        <w:rPr>
          <w:rFonts w:ascii="Verdana" w:eastAsia="Verdana" w:hAnsi="Verdana" w:cs="Times New Roman"/>
          <w:color w:val="auto"/>
          <w:sz w:val="16"/>
          <w:szCs w:val="16"/>
          <w:lang w:val="en-GB"/>
        </w:rPr>
        <w:t>.</w:t>
      </w:r>
    </w:p>
    <w:p w14:paraId="0B3DFA9D" w14:textId="7893E4BE" w:rsidR="00B2443A" w:rsidRPr="00E61974" w:rsidRDefault="00B2443A" w:rsidP="00B2443A">
      <w:pPr>
        <w:spacing w:line="276" w:lineRule="auto"/>
        <w:rPr>
          <w:rFonts w:ascii="Verdana" w:hAnsi="Verdana"/>
          <w:color w:val="auto"/>
          <w:sz w:val="16"/>
          <w:szCs w:val="16"/>
          <w:lang w:val="en-GB"/>
        </w:rPr>
      </w:pPr>
    </w:p>
    <w:p w14:paraId="37A5DAD0" w14:textId="4679A46B" w:rsidR="0043744A" w:rsidRPr="00E61974" w:rsidRDefault="00B2443A" w:rsidP="00B2443A">
      <w:pPr>
        <w:spacing w:line="276" w:lineRule="auto"/>
        <w:rPr>
          <w:rFonts w:ascii="Verdana" w:hAnsi="Verdana"/>
          <w:color w:val="auto"/>
          <w:sz w:val="16"/>
          <w:szCs w:val="16"/>
          <w:lang w:val="en-GB"/>
        </w:rPr>
      </w:pPr>
      <w:r w:rsidRPr="00E61974">
        <w:rPr>
          <w:rFonts w:ascii="Verdana" w:hAnsi="Verdana"/>
          <w:color w:val="auto"/>
          <w:sz w:val="16"/>
          <w:szCs w:val="16"/>
          <w:lang w:val="en-GB"/>
        </w:rPr>
        <w:t>.</w:t>
      </w:r>
    </w:p>
    <w:sectPr w:rsidR="0043744A" w:rsidRPr="00E619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662D7"/>
    <w:multiLevelType w:val="hybridMultilevel"/>
    <w:tmpl w:val="2312AFE8"/>
    <w:lvl w:ilvl="0" w:tplc="5142B3D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146E6B0A"/>
    <w:multiLevelType w:val="hybridMultilevel"/>
    <w:tmpl w:val="6854C27C"/>
    <w:lvl w:ilvl="0" w:tplc="5142B3D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9981A0E"/>
    <w:multiLevelType w:val="hybridMultilevel"/>
    <w:tmpl w:val="8C6A4F4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52526CA1"/>
    <w:multiLevelType w:val="hybridMultilevel"/>
    <w:tmpl w:val="584A979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7F61B7E"/>
    <w:multiLevelType w:val="hybridMultilevel"/>
    <w:tmpl w:val="E7CE4E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6DC56BC2"/>
    <w:multiLevelType w:val="hybridMultilevel"/>
    <w:tmpl w:val="70AAB766"/>
    <w:lvl w:ilvl="0" w:tplc="5142B3D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1062945167">
    <w:abstractNumId w:val="3"/>
  </w:num>
  <w:num w:numId="2" w16cid:durableId="291179495">
    <w:abstractNumId w:val="4"/>
  </w:num>
  <w:num w:numId="3" w16cid:durableId="1915242033">
    <w:abstractNumId w:val="0"/>
  </w:num>
  <w:num w:numId="4" w16cid:durableId="334966911">
    <w:abstractNumId w:val="1"/>
  </w:num>
  <w:num w:numId="5" w16cid:durableId="1336762428">
    <w:abstractNumId w:val="5"/>
  </w:num>
  <w:num w:numId="6" w16cid:durableId="2078361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27B"/>
    <w:rsid w:val="000D390F"/>
    <w:rsid w:val="00186111"/>
    <w:rsid w:val="0043744A"/>
    <w:rsid w:val="004B1D4F"/>
    <w:rsid w:val="006A0DBC"/>
    <w:rsid w:val="006C0373"/>
    <w:rsid w:val="008834AE"/>
    <w:rsid w:val="008E213D"/>
    <w:rsid w:val="00951387"/>
    <w:rsid w:val="00973642"/>
    <w:rsid w:val="009F2C5F"/>
    <w:rsid w:val="00A00F91"/>
    <w:rsid w:val="00A06E31"/>
    <w:rsid w:val="00A179BB"/>
    <w:rsid w:val="00A73ACA"/>
    <w:rsid w:val="00AB62B4"/>
    <w:rsid w:val="00AD1AFA"/>
    <w:rsid w:val="00B2443A"/>
    <w:rsid w:val="00CB569A"/>
    <w:rsid w:val="00E400E4"/>
    <w:rsid w:val="00E61974"/>
    <w:rsid w:val="00E872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C7C59"/>
  <w15:chartTrackingRefBased/>
  <w15:docId w15:val="{34294523-4F9D-4F56-9BFC-F50CF809B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727B"/>
    <w:pPr>
      <w:spacing w:after="280" w:line="280" w:lineRule="exact"/>
      <w:jc w:val="both"/>
    </w:pPr>
    <w:rPr>
      <w:color w:val="FFFFFF" w:themeColor="background1"/>
      <w:spacing w:val="4"/>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Obiekt,List Paragraph1,wypunktowanie,normalny tekst"/>
    <w:basedOn w:val="Normalny"/>
    <w:link w:val="AkapitzlistZnak"/>
    <w:uiPriority w:val="34"/>
    <w:qFormat/>
    <w:rsid w:val="00E8727B"/>
    <w:pPr>
      <w:ind w:left="720"/>
      <w:contextualSpacing/>
    </w:pPr>
  </w:style>
  <w:style w:type="character" w:styleId="Odwoaniedokomentarza">
    <w:name w:val="annotation reference"/>
    <w:basedOn w:val="Domylnaczcionkaakapitu"/>
    <w:uiPriority w:val="99"/>
    <w:semiHidden/>
    <w:unhideWhenUsed/>
    <w:rsid w:val="00E8727B"/>
    <w:rPr>
      <w:sz w:val="16"/>
      <w:szCs w:val="16"/>
    </w:rPr>
  </w:style>
  <w:style w:type="paragraph" w:styleId="Tekstkomentarza">
    <w:name w:val="annotation text"/>
    <w:basedOn w:val="Normalny"/>
    <w:link w:val="TekstkomentarzaZnak"/>
    <w:uiPriority w:val="99"/>
    <w:semiHidden/>
    <w:unhideWhenUsed/>
    <w:rsid w:val="00E8727B"/>
    <w:pPr>
      <w:spacing w:line="240" w:lineRule="auto"/>
    </w:pPr>
    <w:rPr>
      <w:szCs w:val="20"/>
    </w:rPr>
  </w:style>
  <w:style w:type="character" w:customStyle="1" w:styleId="TekstkomentarzaZnak">
    <w:name w:val="Tekst komentarza Znak"/>
    <w:basedOn w:val="Domylnaczcionkaakapitu"/>
    <w:link w:val="Tekstkomentarza"/>
    <w:uiPriority w:val="99"/>
    <w:semiHidden/>
    <w:rsid w:val="00E8727B"/>
    <w:rPr>
      <w:color w:val="FFFFFF" w:themeColor="background1"/>
      <w:spacing w:val="4"/>
      <w:sz w:val="20"/>
      <w:szCs w:val="20"/>
    </w:rPr>
  </w:style>
  <w:style w:type="character" w:customStyle="1" w:styleId="AkapitzlistZnak">
    <w:name w:val="Akapit z listą Znak"/>
    <w:aliases w:val="L1 Znak,Numerowanie Znak,List Paragraph Znak,2 heading Znak,A_wyliczenie Znak,K-P_odwolanie Znak,Akapit z listą5 Znak,maz_wyliczenie Znak,opis dzialania Znak,Obiekt Znak,List Paragraph1 Znak,wypunktowanie Znak,normalny tekst Znak"/>
    <w:link w:val="Akapitzlist"/>
    <w:uiPriority w:val="34"/>
    <w:qFormat/>
    <w:locked/>
    <w:rsid w:val="00E8727B"/>
    <w:rPr>
      <w:color w:val="FFFFFF" w:themeColor="background1"/>
      <w:spacing w:val="4"/>
      <w:sz w:val="20"/>
    </w:rPr>
  </w:style>
  <w:style w:type="character" w:styleId="Hipercze">
    <w:name w:val="Hyperlink"/>
    <w:basedOn w:val="Domylnaczcionkaakapitu"/>
    <w:uiPriority w:val="99"/>
    <w:unhideWhenUsed/>
    <w:rsid w:val="00186111"/>
    <w:rPr>
      <w:color w:val="0563C1" w:themeColor="hyperlink"/>
      <w:u w:val="single"/>
    </w:rPr>
  </w:style>
  <w:style w:type="character" w:styleId="Nierozpoznanawzmianka">
    <w:name w:val="Unresolved Mention"/>
    <w:basedOn w:val="Domylnaczcionkaakapitu"/>
    <w:uiPriority w:val="99"/>
    <w:semiHidden/>
    <w:unhideWhenUsed/>
    <w:rsid w:val="00186111"/>
    <w:rPr>
      <w:color w:val="605E5C"/>
      <w:shd w:val="clear" w:color="auto" w:fill="E1DFDD"/>
    </w:rPr>
  </w:style>
  <w:style w:type="character" w:customStyle="1" w:styleId="normaltextrun">
    <w:name w:val="normaltextrun"/>
    <w:basedOn w:val="Domylnaczcionkaakapitu"/>
    <w:rsid w:val="00AB6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ort.lukasiewicz.gov.pl" TargetMode="External"/><Relationship Id="rId5" Type="http://schemas.openxmlformats.org/officeDocument/2006/relationships/hyperlink" Target="mailto:biuro@port.lukasiewicz.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1289</TotalTime>
  <Pages>3</Pages>
  <Words>1514</Words>
  <Characters>8633</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Bobel–Katryniok | Łukasiewicz – PORT</dc:creator>
  <cp:keywords/>
  <dc:description/>
  <cp:lastModifiedBy>Anna Paziewska–Harris | Łukasiewicz – PORT</cp:lastModifiedBy>
  <cp:revision>8</cp:revision>
  <dcterms:created xsi:type="dcterms:W3CDTF">2023-12-01T15:26:00Z</dcterms:created>
  <dcterms:modified xsi:type="dcterms:W3CDTF">2023-12-05T04:55:00Z</dcterms:modified>
</cp:coreProperties>
</file>