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6B6" w:rsidRDefault="00A876B6" w:rsidP="00A876B6">
      <w:pPr>
        <w:jc w:val="right"/>
      </w:pPr>
      <w:r>
        <w:t xml:space="preserve">Załącznik nr </w:t>
      </w:r>
      <w:r w:rsidR="00F3276E">
        <w:t>4</w:t>
      </w:r>
      <w:r w:rsidR="00AF251C">
        <w:t>f</w:t>
      </w:r>
      <w:r>
        <w:t xml:space="preserve"> do SWZ</w:t>
      </w:r>
    </w:p>
    <w:p w:rsidR="00A876B6" w:rsidRDefault="00A876B6" w:rsidP="00E71DD8">
      <w:pPr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AF251C">
        <w:rPr>
          <w:rFonts w:ascii="Arial Narrow" w:eastAsia="Calibri" w:hAnsi="Arial Narrow" w:cs="Times New Roman"/>
          <w:b/>
          <w:color w:val="000000"/>
          <w:sz w:val="24"/>
          <w:szCs w:val="24"/>
        </w:rPr>
        <w:t>6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serwera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418"/>
        <w:gridCol w:w="1276"/>
        <w:gridCol w:w="5806"/>
      </w:tblGrid>
      <w:tr w:rsidR="00A876B6" w:rsidTr="00A876B6">
        <w:tc>
          <w:tcPr>
            <w:tcW w:w="562" w:type="dxa"/>
          </w:tcPr>
          <w:p w:rsidR="00A876B6" w:rsidRPr="0050796F" w:rsidRDefault="00A876B6" w:rsidP="00A876B6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418" w:type="dxa"/>
          </w:tcPr>
          <w:p w:rsidR="00A876B6" w:rsidRPr="0050796F" w:rsidRDefault="00A876B6" w:rsidP="00A876B6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A876B6" w:rsidRPr="00A454CF" w:rsidRDefault="00A876B6" w:rsidP="00A876B6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806" w:type="dxa"/>
          </w:tcPr>
          <w:p w:rsidR="00A876B6" w:rsidRPr="0050796F" w:rsidRDefault="00A876B6" w:rsidP="00A876B6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A876B6" w:rsidTr="00A876B6">
        <w:tc>
          <w:tcPr>
            <w:tcW w:w="562" w:type="dxa"/>
          </w:tcPr>
          <w:p w:rsidR="00A876B6" w:rsidRPr="000B593B" w:rsidRDefault="00A876B6" w:rsidP="00A876B6">
            <w:pPr>
              <w:pStyle w:val="Akapitzlist"/>
              <w:numPr>
                <w:ilvl w:val="0"/>
                <w:numId w:val="1"/>
              </w:numPr>
              <w:spacing w:line="240" w:lineRule="auto"/>
              <w:ind w:left="171" w:hanging="171"/>
              <w:rPr>
                <w:b/>
              </w:rPr>
            </w:pPr>
          </w:p>
        </w:tc>
        <w:tc>
          <w:tcPr>
            <w:tcW w:w="1418" w:type="dxa"/>
          </w:tcPr>
          <w:p w:rsidR="00A876B6" w:rsidRPr="0050796F" w:rsidRDefault="00A876B6" w:rsidP="00A876B6">
            <w:pPr>
              <w:jc w:val="center"/>
              <w:rPr>
                <w:b/>
              </w:rPr>
            </w:pPr>
            <w:r>
              <w:rPr>
                <w:b/>
              </w:rPr>
              <w:t>Serwer</w:t>
            </w:r>
          </w:p>
        </w:tc>
        <w:tc>
          <w:tcPr>
            <w:tcW w:w="1276" w:type="dxa"/>
          </w:tcPr>
          <w:p w:rsidR="00A876B6" w:rsidRPr="00FE2899" w:rsidRDefault="00A876B6" w:rsidP="00A876B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szt.</w:t>
            </w:r>
          </w:p>
        </w:tc>
        <w:tc>
          <w:tcPr>
            <w:tcW w:w="5806" w:type="dxa"/>
          </w:tcPr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74" w:hanging="374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Procesor – wielordzeniowy procesor, o wydajności liczonej w punktach równej lub wyższej 16,</w:t>
            </w:r>
            <w:r w:rsidR="00AE4C87">
              <w:rPr>
                <w:color w:val="000000" w:themeColor="text1"/>
              </w:rPr>
              <w:t>467</w:t>
            </w:r>
            <w:bookmarkStart w:id="0" w:name="_GoBack"/>
            <w:bookmarkEnd w:id="0"/>
            <w:r w:rsidRPr="00AF1754">
              <w:rPr>
                <w:color w:val="000000" w:themeColor="text1"/>
              </w:rPr>
              <w:t xml:space="preserve"> pkt na podstawie PerformanceTest w teście CPU Mark według wyników opublikowanych</w:t>
            </w:r>
            <w:r>
              <w:rPr>
                <w:color w:val="000000" w:themeColor="text1"/>
              </w:rPr>
              <w:t xml:space="preserve"> na http://www.cpubenchmark.net/</w:t>
            </w:r>
            <w:r w:rsidRPr="00AF1754">
              <w:rPr>
                <w:color w:val="000000" w:themeColor="text1"/>
              </w:rPr>
              <w:t xml:space="preserve">. </w:t>
            </w:r>
            <w:r>
              <w:rPr>
                <w:color w:val="000000" w:themeColor="text1"/>
              </w:rPr>
              <w:t>Na dzień</w:t>
            </w:r>
            <w:r w:rsidRPr="00AF1754">
              <w:rPr>
                <w:color w:val="000000" w:themeColor="text1"/>
              </w:rPr>
              <w:t xml:space="preserve"> </w:t>
            </w:r>
            <w:r w:rsidR="00DA3DBA">
              <w:rPr>
                <w:color w:val="000000" w:themeColor="text1"/>
              </w:rPr>
              <w:t>17</w:t>
            </w:r>
            <w:r w:rsidRPr="00F60E3A">
              <w:rPr>
                <w:color w:val="000000" w:themeColor="text1"/>
              </w:rPr>
              <w:t>.</w:t>
            </w:r>
            <w:r w:rsidR="00DA3DBA">
              <w:rPr>
                <w:color w:val="000000" w:themeColor="text1"/>
              </w:rPr>
              <w:t>12</w:t>
            </w:r>
            <w:r w:rsidRPr="00F60E3A">
              <w:rPr>
                <w:color w:val="000000" w:themeColor="text1"/>
              </w:rPr>
              <w:t xml:space="preserve">.2024 r. </w:t>
            </w:r>
            <w:r w:rsidRPr="00AF1754">
              <w:rPr>
                <w:color w:val="000000" w:themeColor="text1"/>
              </w:rPr>
              <w:t>Wykonawca w składanej ofercie winien podać dokładny model oferowanego podzespołu.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zainstalowanych procesorów</w:t>
            </w:r>
            <w:r w:rsidRPr="00AF1754">
              <w:rPr>
                <w:color w:val="000000" w:themeColor="text1"/>
              </w:rPr>
              <w:tab/>
              <w:t xml:space="preserve">1 szt. 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Zainstalowana pamięć RAM</w:t>
            </w:r>
            <w:r w:rsidRPr="00AF1754">
              <w:rPr>
                <w:color w:val="000000" w:themeColor="text1"/>
              </w:rPr>
              <w:tab/>
              <w:t>min.</w:t>
            </w:r>
            <w:r>
              <w:rPr>
                <w:color w:val="000000" w:themeColor="text1"/>
              </w:rPr>
              <w:t xml:space="preserve"> </w:t>
            </w:r>
            <w:r w:rsidRPr="00AF1754">
              <w:rPr>
                <w:color w:val="000000" w:themeColor="text1"/>
              </w:rPr>
              <w:t xml:space="preserve">32 GB 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Maks. wielkość</w:t>
            </w:r>
            <w:r>
              <w:rPr>
                <w:color w:val="000000" w:themeColor="text1"/>
              </w:rPr>
              <w:t xml:space="preserve"> pamięci </w:t>
            </w:r>
            <w:r w:rsidRPr="00AF1754">
              <w:rPr>
                <w:color w:val="000000" w:themeColor="text1"/>
              </w:rPr>
              <w:t xml:space="preserve">128 GB </w:t>
            </w:r>
          </w:p>
          <w:p w:rsidR="00A876B6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Typ pamięci </w:t>
            </w:r>
            <w:r w:rsidRPr="00AF1754">
              <w:rPr>
                <w:color w:val="000000" w:themeColor="text1"/>
              </w:rPr>
              <w:t xml:space="preserve">DDR4 </w:t>
            </w:r>
          </w:p>
          <w:p w:rsidR="00A876B6" w:rsidRPr="00BC17B3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Kontroler dysków PERC H355</w:t>
            </w:r>
          </w:p>
          <w:p w:rsidR="00A876B6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 xml:space="preserve">Typ interfejsów klatki na dyski serwera SATA, SAS </w:t>
            </w:r>
          </w:p>
          <w:p w:rsidR="00A876B6" w:rsidRPr="00F461BE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F461BE">
              <w:rPr>
                <w:color w:val="000000" w:themeColor="text1"/>
              </w:rPr>
              <w:t>Obsługa dysków SSD SATA + SAS,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dysków min. 4 x 4TB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18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Gniazda rozszerzeń wewnętrzne</w:t>
            </w:r>
            <w:r>
              <w:rPr>
                <w:color w:val="000000" w:themeColor="text1"/>
              </w:rPr>
              <w:t>: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4.0 x16 -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4.0 x8 (x4)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3.0 x8 (x4)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3.0 x1 - pełna wysokość, połowa długości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USB 3.0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3"/>
              </w:numPr>
              <w:spacing w:line="240" w:lineRule="auto"/>
              <w:ind w:left="374" w:hanging="374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Tylny panel</w:t>
            </w:r>
            <w:r>
              <w:rPr>
                <w:color w:val="000000" w:themeColor="text1"/>
              </w:rPr>
              <w:t>: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6x USB (5xUSB 2.0 oraz 1xUSB 3.0)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2 porty sieciowe Gigabit Ethernet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1 d</w:t>
            </w:r>
            <w:r w:rsidRPr="00E5006F">
              <w:rPr>
                <w:color w:val="000000" w:themeColor="text1"/>
              </w:rPr>
              <w:t>edykowany port iDRAC Ethernet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identyfikacji systemu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Wyjście VGA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zasilania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autodiagnostyki zasilacza</w:t>
            </w:r>
          </w:p>
          <w:p w:rsidR="00A876B6" w:rsidRPr="00E5006F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 napięcia sieci</w:t>
            </w:r>
          </w:p>
          <w:p w:rsidR="00A876B6" w:rsidRDefault="00A876B6" w:rsidP="00A876B6">
            <w:pPr>
              <w:pStyle w:val="Akapitzlist"/>
              <w:numPr>
                <w:ilvl w:val="1"/>
                <w:numId w:val="2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szeregowy RS-232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3"/>
              </w:numPr>
              <w:spacing w:line="240" w:lineRule="auto"/>
              <w:ind w:left="374" w:hanging="374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Przedni panel</w:t>
            </w:r>
            <w:r>
              <w:rPr>
                <w:color w:val="000000" w:themeColor="text1"/>
              </w:rPr>
              <w:t>: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Ramka zabezpieczająca (panel)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Wskaźniki diagnostyczne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włączania/wyłączania systemu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Stacja DVD-RW (opcja)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USB 3.0</w:t>
            </w:r>
          </w:p>
          <w:p w:rsidR="00A876B6" w:rsidRPr="00E5006F" w:rsidRDefault="00A876B6" w:rsidP="00A876B6">
            <w:pPr>
              <w:pStyle w:val="Akapitzlist"/>
              <w:numPr>
                <w:ilvl w:val="0"/>
                <w:numId w:val="4"/>
              </w:numPr>
              <w:spacing w:line="240" w:lineRule="auto"/>
              <w:ind w:left="657" w:hanging="283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microUSB (iDRAC Direct managment)</w:t>
            </w:r>
          </w:p>
          <w:p w:rsidR="00A876B6" w:rsidRPr="00AF1754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FF0000"/>
              </w:rPr>
            </w:pPr>
            <w:r>
              <w:rPr>
                <w:color w:val="000000" w:themeColor="text1"/>
              </w:rPr>
              <w:t xml:space="preserve">Moc zasilacza </w:t>
            </w:r>
            <w:r w:rsidRPr="00E5006F">
              <w:rPr>
                <w:color w:val="000000" w:themeColor="text1"/>
              </w:rPr>
              <w:t xml:space="preserve">min. 300 W </w:t>
            </w:r>
          </w:p>
          <w:p w:rsidR="00A876B6" w:rsidRPr="00BC17B3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Gwarancja min. 12 miesięcy  on-site</w:t>
            </w:r>
          </w:p>
          <w:p w:rsidR="00A876B6" w:rsidRPr="00BC0308" w:rsidRDefault="00A876B6" w:rsidP="00A876B6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8" w:hanging="300"/>
              <w:rPr>
                <w:color w:val="FF0000"/>
              </w:rPr>
            </w:pPr>
            <w:r w:rsidRPr="003C37D8">
              <w:rPr>
                <w:color w:val="000000" w:themeColor="text1"/>
              </w:rPr>
              <w:t>Oprogramowanie</w:t>
            </w:r>
            <w:r>
              <w:rPr>
                <w:color w:val="000000" w:themeColor="text1"/>
              </w:rPr>
              <w:t xml:space="preserve"> serwerowe:</w:t>
            </w:r>
          </w:p>
          <w:p w:rsidR="00A876B6" w:rsidRPr="00BC0308" w:rsidRDefault="00A876B6" w:rsidP="00A876B6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 xml:space="preserve">licencja uprawniająca do bezterminowego, nieograniczonego czasowo korzystania z oprogramowania; licencja umożliwiająca instalację </w:t>
            </w:r>
            <w:r w:rsidRPr="003C37D8">
              <w:rPr>
                <w:rFonts w:ascii="Calibri" w:hAnsi="Calibri" w:cs="Calibri"/>
                <w:color w:val="000000" w:themeColor="text1"/>
              </w:rPr>
              <w:lastRenderedPageBreak/>
              <w:t xml:space="preserve">jednej kopii oprogramowania na serwerze fizycznym lub min. jednej kopii oprogramowania w środowisku wirtualnym; </w:t>
            </w:r>
          </w:p>
          <w:p w:rsidR="00AF251C" w:rsidRPr="00AF251C" w:rsidRDefault="00A876B6" w:rsidP="00AF251C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>najnowsza, dostępna w momencie składania oferty wersja oprogramowania,</w:t>
            </w:r>
            <w:r w:rsidRPr="003C37D8">
              <w:rPr>
                <w:color w:val="000000" w:themeColor="text1"/>
              </w:rPr>
              <w:t xml:space="preserve"> </w:t>
            </w:r>
          </w:p>
          <w:p w:rsidR="00AF251C" w:rsidRPr="00AF251C" w:rsidRDefault="00A876B6" w:rsidP="00AF251C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AF251C">
              <w:rPr>
                <w:rFonts w:ascii="Calibri" w:hAnsi="Calibri" w:cs="Calibri"/>
                <w:color w:val="000000" w:themeColor="text1"/>
              </w:rPr>
              <w:t xml:space="preserve">brak wymagalności licencji dostępu, możliwość wykonywania tradycyjnych aplikacji i funkcji takich jak udostępnianie plików i drukarek, </w:t>
            </w:r>
          </w:p>
          <w:p w:rsidR="00A876B6" w:rsidRPr="00AF251C" w:rsidRDefault="00A876B6" w:rsidP="00AF251C">
            <w:pPr>
              <w:pStyle w:val="Akapitzlist"/>
              <w:numPr>
                <w:ilvl w:val="0"/>
                <w:numId w:val="5"/>
              </w:numPr>
              <w:spacing w:line="240" w:lineRule="auto"/>
              <w:ind w:left="657" w:hanging="283"/>
              <w:jc w:val="both"/>
              <w:rPr>
                <w:color w:val="FF0000"/>
              </w:rPr>
            </w:pPr>
            <w:r w:rsidRPr="00AF251C">
              <w:rPr>
                <w:rFonts w:ascii="Calibri" w:hAnsi="Calibri" w:cs="Calibri"/>
                <w:color w:val="000000" w:themeColor="text1"/>
              </w:rPr>
              <w:t>model licencjonowania - Serwer specjalny (licencja serwerowa)</w:t>
            </w:r>
          </w:p>
        </w:tc>
      </w:tr>
    </w:tbl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A876B6" w:rsidRDefault="00A876B6" w:rsidP="00A876B6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0C7B0B" w:rsidRDefault="000C7B0B"/>
    <w:sectPr w:rsidR="000C7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27"/>
    <w:multiLevelType w:val="hybridMultilevel"/>
    <w:tmpl w:val="514EA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2F95"/>
    <w:multiLevelType w:val="hybridMultilevel"/>
    <w:tmpl w:val="8B6C561A"/>
    <w:lvl w:ilvl="0" w:tplc="9822E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DF264D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1543D"/>
    <w:multiLevelType w:val="hybridMultilevel"/>
    <w:tmpl w:val="DF14859C"/>
    <w:lvl w:ilvl="0" w:tplc="DF264D1C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307125A7"/>
    <w:multiLevelType w:val="hybridMultilevel"/>
    <w:tmpl w:val="8576A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05F58"/>
    <w:multiLevelType w:val="hybridMultilevel"/>
    <w:tmpl w:val="09B25EC8"/>
    <w:lvl w:ilvl="0" w:tplc="DF264D1C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1C5"/>
    <w:rsid w:val="000051C5"/>
    <w:rsid w:val="000C7B0B"/>
    <w:rsid w:val="00A876B6"/>
    <w:rsid w:val="00AE4C87"/>
    <w:rsid w:val="00AF251C"/>
    <w:rsid w:val="00DA3DBA"/>
    <w:rsid w:val="00E71DD8"/>
    <w:rsid w:val="00F3276E"/>
    <w:rsid w:val="00F6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C6C28-B49C-4453-9C92-6A37B690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6B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76B6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13</cp:revision>
  <dcterms:created xsi:type="dcterms:W3CDTF">2024-10-18T12:36:00Z</dcterms:created>
  <dcterms:modified xsi:type="dcterms:W3CDTF">2024-12-17T14:09:00Z</dcterms:modified>
</cp:coreProperties>
</file>