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4D8C" w14:textId="4A87BC45" w:rsidR="00E44873" w:rsidRPr="0095206B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5206B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1359BC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  <w:r w:rsidR="007D6FE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PNS 6/2023</w:t>
      </w:r>
    </w:p>
    <w:p w14:paraId="532DD2A5" w14:textId="77777777" w:rsidR="00BF07B9" w:rsidRPr="0095206B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1FF6D52A" w14:textId="5DE896C3" w:rsidR="00E44873" w:rsidRPr="009D642F" w:rsidRDefault="009D642F" w:rsidP="004C40F3">
      <w:pPr>
        <w:pStyle w:val="Nagwek3"/>
        <w:spacing w:before="0" w:after="120" w:line="276" w:lineRule="auto"/>
        <w:jc w:val="right"/>
        <w:rPr>
          <w:rFonts w:asciiTheme="minorHAnsi" w:hAnsiTheme="minorHAnsi" w:cstheme="minorHAnsi"/>
          <w:bCs w:val="0"/>
          <w:color w:val="FF0000"/>
          <w:sz w:val="24"/>
          <w:szCs w:val="24"/>
        </w:rPr>
      </w:pPr>
      <w:r w:rsidRPr="009D642F">
        <w:rPr>
          <w:rFonts w:asciiTheme="minorHAnsi" w:hAnsiTheme="minorHAnsi" w:cstheme="minorHAnsi"/>
          <w:bCs w:val="0"/>
          <w:color w:val="FF0000"/>
          <w:sz w:val="24"/>
          <w:szCs w:val="24"/>
        </w:rPr>
        <w:t>PO ZMIANACH</w:t>
      </w:r>
    </w:p>
    <w:p w14:paraId="5B5C8233" w14:textId="77777777" w:rsidR="002C1EDD" w:rsidRPr="0095206B" w:rsidRDefault="002C1EDD" w:rsidP="002C1EDD">
      <w:pPr>
        <w:rPr>
          <w:rFonts w:asciiTheme="minorHAnsi" w:hAnsiTheme="minorHAnsi" w:cstheme="minorHAnsi"/>
          <w:lang w:val="pl-PL"/>
        </w:rPr>
      </w:pPr>
    </w:p>
    <w:p w14:paraId="06FBC57C" w14:textId="77777777" w:rsidR="00E44873" w:rsidRPr="0095206B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SPRZEDAŻY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95206B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95206B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95206B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60E79674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95206B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95206B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95206B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31DC4F2B" w14:textId="5311D3D0" w:rsidR="005827E8" w:rsidRPr="002E2175" w:rsidRDefault="000320DB" w:rsidP="005827E8">
      <w:pPr>
        <w:spacing w:line="276" w:lineRule="auto"/>
        <w:jc w:val="both"/>
        <w:rPr>
          <w:rFonts w:ascii="Calibri" w:hAnsi="Calibri" w:cs="Calibri"/>
          <w:color w:val="000000"/>
          <w:lang w:val="pl-PL"/>
        </w:rPr>
      </w:pPr>
      <w:bookmarkStart w:id="2" w:name="_Hlk71883094"/>
      <w:r w:rsidRPr="000320DB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pn.: „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Zakup energii elektrycznej dla Gminnego Zakładu Gospodarki Komunalnej Spółka z o.o. w Ch</w:t>
      </w:r>
      <w:r w:rsidR="00D1345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arzykowach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w okresie od </w:t>
      </w:r>
      <w:r w:rsidR="00502E85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01.01.2024 r. do 31.12.2024</w:t>
      </w:r>
      <w:r w:rsidRPr="005827E8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r.</w:t>
      </w:r>
      <w:r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Pr="00502E85">
        <w:rPr>
          <w:rFonts w:asciiTheme="minorHAnsi" w:hAnsiTheme="minorHAnsi" w:cstheme="minorHAnsi"/>
          <w:sz w:val="24"/>
          <w:szCs w:val="24"/>
          <w:lang w:val="pl-PL"/>
        </w:rPr>
        <w:t xml:space="preserve">prowadzonego w trybie </w:t>
      </w:r>
      <w:r w:rsidR="005827E8" w:rsidRPr="00502E85">
        <w:rPr>
          <w:rFonts w:ascii="Calibri" w:hAnsi="Calibri" w:cs="Calibri"/>
          <w:bCs/>
          <w:sz w:val="24"/>
          <w:szCs w:val="24"/>
          <w:lang w:val="pl-PL"/>
        </w:rPr>
        <w:t>sektorowego przetargu nieograniczonego o wartości nie przekraczającej kwoty 1.919.502,00 zł, na podstawie art. 2 ust.1 pkt 2, art. 3, art. 5 ust. 1 pkt 1), ust.4 pkt. 1), a), b), c) ustawy z dnia 11 września 2019r. Prawo zamówień publicznych na zasadach określonych w specyfikacji przetargowej (zwanej dalej SP) oraz Regulaminie udzielania zamówień sektorowych  w spółce Gminny Zakład Gospodarki Komunalnej Sp. z o.o.</w:t>
      </w:r>
      <w:r w:rsidR="005827E8" w:rsidRPr="002E217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</w:p>
    <w:p w14:paraId="6E6FB1CE" w14:textId="6BD5E6EE" w:rsidR="00E44873" w:rsidRPr="0095206B" w:rsidRDefault="00E44873" w:rsidP="002C1E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bookmarkEnd w:id="2"/>
    <w:p w14:paraId="4E051170" w14:textId="1C20913B" w:rsidR="00142AF3" w:rsidRDefault="00142AF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8704EC4" w14:textId="778A6FDE" w:rsidR="005827E8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4F2A078" w14:textId="77777777" w:rsidR="005827E8" w:rsidRPr="0095206B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37ADB37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1</w:t>
      </w:r>
    </w:p>
    <w:p w14:paraId="0B38AB8B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1819AFD1" w14:textId="77777777" w:rsidR="00E44873" w:rsidRPr="0095206B" w:rsidRDefault="00D462D3" w:rsidP="00CB6998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zgodnie oświadczają, że p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odstawą do ustalenia warunków 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Umowy są:</w:t>
      </w:r>
    </w:p>
    <w:p w14:paraId="2C7AA0DF" w14:textId="0EDD535B" w:rsidR="00E44873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10 kwietnia 1997 r.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Prawo energetyczne (</w:t>
      </w:r>
      <w:r w:rsidR="00801245" w:rsidRPr="002E2175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2D02A9" w:rsidRPr="002E217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01245" w:rsidRPr="002E2175">
        <w:rPr>
          <w:rFonts w:asciiTheme="minorHAnsi" w:hAnsiTheme="minorHAnsi" w:cstheme="minorHAnsi"/>
          <w:sz w:val="24"/>
          <w:szCs w:val="24"/>
          <w:lang w:val="pl-PL"/>
        </w:rPr>
        <w:t>U. z 202</w:t>
      </w:r>
      <w:r w:rsidR="00502E85" w:rsidRPr="002E217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801245" w:rsidRPr="002E2175">
        <w:rPr>
          <w:rFonts w:asciiTheme="minorHAnsi" w:hAnsiTheme="minorHAnsi" w:cstheme="minorHAnsi"/>
          <w:sz w:val="24"/>
          <w:szCs w:val="24"/>
          <w:lang w:val="pl-PL"/>
        </w:rPr>
        <w:t xml:space="preserve"> r. poz. </w:t>
      </w:r>
      <w:r w:rsidR="00502E85" w:rsidRPr="002E2175">
        <w:rPr>
          <w:rFonts w:asciiTheme="minorHAnsi" w:hAnsiTheme="minorHAnsi" w:cstheme="minorHAnsi"/>
          <w:sz w:val="24"/>
          <w:szCs w:val="24"/>
          <w:lang w:val="pl-PL"/>
        </w:rPr>
        <w:t xml:space="preserve">1385 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ze zm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zwana dalej ustawą Prawo energetyczne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obowiązującymi rozporządzeniami do niniejszej ustawy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, które znajdują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zastosowanie do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7A4A79" w14:textId="77777777" w:rsidR="00296E4B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23 kwietnia 1964 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>r. Kodeks cywilny (Dz. U. z 2020 r. poz. 1740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, zwana dalej: Kodeksem cywilnym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79B70A34" w14:textId="71C5E4E8" w:rsidR="005827E8" w:rsidRPr="005827E8" w:rsidRDefault="005827E8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27E8">
        <w:rPr>
          <w:rFonts w:asciiTheme="minorHAnsi" w:hAnsiTheme="minorHAnsi" w:cstheme="minorHAnsi"/>
          <w:sz w:val="24"/>
          <w:szCs w:val="24"/>
          <w:lang w:val="pl-PL"/>
        </w:rPr>
        <w:t>Regulamin udzielania zamówień sektorowych w Spółce Gminny Zakład Gospodarki Komunalnej Sp.  z o.o.</w:t>
      </w:r>
    </w:p>
    <w:p w14:paraId="613714AC" w14:textId="63933E47" w:rsidR="00E44873" w:rsidRPr="0095206B" w:rsidRDefault="00EE1A1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Koncesja 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obrót energią elektryczną nr …………………… z dnia ……………r. wydana przez Prez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esa Urzędu Regulacji Energetyki;</w:t>
      </w:r>
    </w:p>
    <w:p w14:paraId="21790C92" w14:textId="123AEFA6" w:rsidR="00E44873" w:rsidRPr="005E2ED9" w:rsidRDefault="00140B2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Aktualna (ważna w okresie obowiązywania umowy sprzedaży) Generalna Umowa Dystrybucyjna zawarta pomiędzy Wykonawcą a OSD dla PPE określonych  w 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Załączniku nr 1 do Umowy;</w:t>
      </w:r>
    </w:p>
    <w:p w14:paraId="59CF7665" w14:textId="3E582C83" w:rsidR="000320DB" w:rsidRP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0320DB">
        <w:rPr>
          <w:rFonts w:asciiTheme="minorHAnsi" w:hAnsiTheme="minorHAnsi" w:cstheme="minorHAnsi"/>
          <w:sz w:val="24"/>
          <w:szCs w:val="24"/>
        </w:rPr>
        <w:t>IRiESD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527DC76B" w14:textId="7DD83C6A" w:rsid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0320DB">
        <w:rPr>
          <w:rFonts w:asciiTheme="minorHAnsi" w:hAnsiTheme="minorHAnsi" w:cstheme="minorHAnsi"/>
          <w:sz w:val="24"/>
          <w:szCs w:val="24"/>
          <w:lang w:val="pl-PL"/>
        </w:rPr>
        <w:t>IRiESP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AADC35B" w14:textId="7A085B3D" w:rsidR="005E2ED9" w:rsidRDefault="005E2ED9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Aktualne (ważne w okresie obowiązywania umowy sprzedaży) umowy  o Świadczenie Usług Dystrybucyjnych zawarte pomiędzy Zamawiającym a OSD dla PPE określonych 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BE40C2A" w14:textId="77777777" w:rsidR="00E44873" w:rsidRPr="0095206B" w:rsidRDefault="00597605" w:rsidP="00CB6998">
      <w:pPr>
        <w:pStyle w:val="Akapitzlist"/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oświadcza, iż nie jest Przedsiębiorstwem Energetycznym w rozumieniu Ustawy z dnia 10 kwietnia 1997 r. Prawo Energetyczne.</w:t>
      </w:r>
    </w:p>
    <w:p w14:paraId="36B379E8" w14:textId="77777777" w:rsidR="00FD3D6F" w:rsidRPr="0095206B" w:rsidRDefault="00FD3D6F" w:rsidP="00CB6998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1E587A2C" w14:textId="77777777" w:rsidR="00363C95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-</w:t>
      </w:r>
      <w:r w:rsidR="00363C95" w:rsidRPr="0095206B">
        <w:rPr>
          <w:rFonts w:asciiTheme="minorHAnsi" w:hAnsiTheme="minorHAnsi" w:cstheme="minorHAnsi"/>
          <w:sz w:val="24"/>
          <w:szCs w:val="24"/>
        </w:rPr>
        <w:t xml:space="preserve"> niniejsza umowa;</w:t>
      </w:r>
    </w:p>
    <w:p w14:paraId="4353A900" w14:textId="77777777" w:rsidR="00363C95" w:rsidRPr="0095206B" w:rsidRDefault="00363C95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Umowa o świa</w:t>
      </w:r>
      <w:r w:rsidR="003D6D31">
        <w:rPr>
          <w:rFonts w:asciiTheme="minorHAnsi" w:hAnsiTheme="minorHAnsi" w:cstheme="minorHAnsi"/>
          <w:sz w:val="24"/>
          <w:szCs w:val="24"/>
        </w:rPr>
        <w:t xml:space="preserve">dczenie usług dystrybucyjnych - </w:t>
      </w:r>
      <w:r w:rsidRPr="0095206B">
        <w:rPr>
          <w:rFonts w:asciiTheme="minorHAnsi" w:hAnsiTheme="minorHAnsi" w:cstheme="minorHAnsi"/>
          <w:sz w:val="24"/>
          <w:szCs w:val="24"/>
        </w:rPr>
        <w:t>umowa zawarta pomiędzy Zamawiającym lub Odbiorcą a OSD określająca prawa i obowiązki związane ze świadczeniem przez OSD usługi dystrybucji energii elektrycznej;</w:t>
      </w:r>
    </w:p>
    <w:p w14:paraId="7B87359F" w14:textId="43A44E5C" w:rsidR="000D39BE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Energia elektryczna -</w:t>
      </w:r>
      <w:r w:rsidR="000D39BE" w:rsidRPr="0095206B">
        <w:rPr>
          <w:rFonts w:asciiTheme="minorHAnsi" w:hAnsiTheme="minorHAnsi" w:cstheme="minorHAnsi"/>
          <w:sz w:val="24"/>
          <w:szCs w:val="24"/>
        </w:rPr>
        <w:t xml:space="preserve"> energia elektryczna czynna, będąca przedmiotem sprzedaży z mocy niniejszej </w:t>
      </w:r>
      <w:r w:rsidR="007132FA" w:rsidRPr="0095206B">
        <w:rPr>
          <w:rFonts w:asciiTheme="minorHAnsi" w:hAnsiTheme="minorHAnsi" w:cstheme="minorHAnsi"/>
          <w:sz w:val="24"/>
          <w:szCs w:val="24"/>
        </w:rPr>
        <w:t>U</w:t>
      </w:r>
      <w:r w:rsidR="000D39BE" w:rsidRPr="0095206B">
        <w:rPr>
          <w:rFonts w:asciiTheme="minorHAnsi" w:hAnsiTheme="minorHAnsi" w:cstheme="minorHAnsi"/>
          <w:sz w:val="24"/>
          <w:szCs w:val="24"/>
        </w:rPr>
        <w:t>mowy i na określonych w niej warunkach</w:t>
      </w:r>
      <w:r w:rsidR="000320DB" w:rsidRPr="000320DB">
        <w:rPr>
          <w:rFonts w:asciiTheme="minorHAnsi" w:hAnsiTheme="minorHAnsi" w:cstheme="minorHAnsi"/>
          <w:sz w:val="24"/>
          <w:szCs w:val="24"/>
        </w:rPr>
        <w:t>, wyrażona w MWh lub kWh</w:t>
      </w:r>
      <w:r w:rsidR="000D39BE" w:rsidRPr="000320DB">
        <w:rPr>
          <w:rFonts w:asciiTheme="minorHAnsi" w:hAnsiTheme="minorHAnsi" w:cstheme="minorHAnsi"/>
          <w:sz w:val="24"/>
          <w:szCs w:val="24"/>
        </w:rPr>
        <w:t>;</w:t>
      </w:r>
    </w:p>
    <w:p w14:paraId="0D20FFB0" w14:textId="77777777" w:rsidR="000D39BE" w:rsidRPr="0095206B" w:rsidRDefault="000D39BE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 xml:space="preserve">Punkt Poboru Energii (PPE)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miejsca dostarczania energii elektrycznej określone w Załączniku nr 1 </w:t>
      </w:r>
      <w:r w:rsidR="009C4857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 Umowy,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zgodne z miejscami dostarczania energii elektrycznej zapisanymi w umowie o świadczenie usług dystrybucji;</w:t>
      </w:r>
    </w:p>
    <w:p w14:paraId="45FDBE35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Dni robocze - dni od poniedziałku do piątku, z pominięciem dni ustawowo wolnych od pracy;</w:t>
      </w:r>
    </w:p>
    <w:p w14:paraId="3276C4BB" w14:textId="77777777" w:rsidR="0031571B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Odbiorca -</w:t>
      </w:r>
      <w:r w:rsidR="0031571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odbiorca energii elektrycznej w rozumieniu ustawy Prawo energetyczne;</w:t>
      </w:r>
    </w:p>
    <w:p w14:paraId="7F7924DD" w14:textId="600F3992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Okres rozliczeniowy – okres za który na podstawie odczytów urządzeń pomiarowych następuje rozliczenie zużytej energii elektrycznej, zgodny z okresem rozliczeniowym udostępnionym przez OSD działającym na danym terenie;</w:t>
      </w:r>
    </w:p>
    <w:p w14:paraId="11660CBC" w14:textId="597B79D9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Operator Systemu Dystrybucyjnego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(OSD)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przedsiębiorstwo energetyczne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zajmujące się świadczeniem usług dystrybucyjnych energii elektrycznej na obszarze, do sieci którego przyłączone są PPE Zamawiającego, tj. </w:t>
      </w:r>
      <w:r w:rsidR="00502E85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 xml:space="preserve">ENEA Operator Sp. z </w:t>
      </w:r>
      <w:proofErr w:type="spellStart"/>
      <w:r w:rsidR="00502E85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o.o</w:t>
      </w:r>
      <w:proofErr w:type="spellEnd"/>
      <w:r w:rsidR="00502E85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.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30330C3" w14:textId="77777777" w:rsidR="00056078" w:rsidRDefault="00056078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Operator Systemu Przesyłowego (OSP) - przedsiębiorstwo energetyczne posiadające koncesję na przesyłanie energii elektrycznej, tj. spółka Polskie Sieci Elektroenergetyczne S.A.</w:t>
      </w:r>
      <w:r w:rsidR="003D6D31">
        <w:rPr>
          <w:rFonts w:asciiTheme="minorHAnsi" w:hAnsiTheme="minorHAnsi" w:cstheme="minorHAnsi"/>
          <w:sz w:val="24"/>
          <w:szCs w:val="24"/>
        </w:rPr>
        <w:t>;</w:t>
      </w:r>
    </w:p>
    <w:p w14:paraId="7C725F9C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Podmiot Odpowiedzialny za Bilansowanie handlowe (POB)</w:t>
      </w:r>
      <w:r w:rsidRPr="003D6D3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3D6D31">
        <w:rPr>
          <w:rFonts w:asciiTheme="minorHAnsi" w:hAnsiTheme="minorHAnsi" w:cstheme="minorHAnsi"/>
          <w:sz w:val="24"/>
          <w:szCs w:val="24"/>
        </w:rPr>
        <w:t>podmiot odpowiedzialny za wykonywanie czynności bilansowania handlowego,</w:t>
      </w:r>
      <w:r w:rsidR="003D6D31">
        <w:rPr>
          <w:rFonts w:asciiTheme="minorHAnsi" w:hAnsiTheme="minorHAnsi" w:cstheme="minorHAnsi"/>
          <w:sz w:val="24"/>
          <w:szCs w:val="24"/>
        </w:rPr>
        <w:t xml:space="preserve"> tj. </w:t>
      </w:r>
      <w:r w:rsidRPr="003D6D31">
        <w:rPr>
          <w:rFonts w:asciiTheme="minorHAnsi" w:hAnsiTheme="minorHAnsi" w:cstheme="minorHAnsi"/>
          <w:sz w:val="24"/>
          <w:szCs w:val="24"/>
        </w:rPr>
        <w:t>Wykonawca;</w:t>
      </w:r>
    </w:p>
    <w:p w14:paraId="4ACADB68" w14:textId="77777777" w:rsidR="00FD3D6F" w:rsidRPr="000320D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Instrukcja Ruchu i Eksploatacji Sieci Dystrybucyjnej </w:t>
      </w:r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(</w:t>
      </w:r>
      <w:proofErr w:type="spellStart"/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IRiESD</w:t>
      </w:r>
      <w:proofErr w:type="spellEnd"/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) OSD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określająca procedury i sposób wykonywania czynności związanych z ruchem sieciowym, eksploatacją sieci i działalnością dystrybucyjną;</w:t>
      </w:r>
    </w:p>
    <w:p w14:paraId="38BEE9D6" w14:textId="1C2B5AA5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Instrukcja Ruchu i Eksploatacji Sieci Przesyłowej (</w:t>
      </w:r>
      <w:proofErr w:type="spellStart"/>
      <w:r w:rsidRPr="000320DB">
        <w:rPr>
          <w:rFonts w:asciiTheme="minorHAnsi" w:hAnsiTheme="minorHAnsi" w:cstheme="minorHAnsi"/>
          <w:sz w:val="24"/>
          <w:szCs w:val="24"/>
        </w:rPr>
        <w:t>IRiESP</w:t>
      </w:r>
      <w:proofErr w:type="spellEnd"/>
      <w:r w:rsidRPr="000320DB">
        <w:rPr>
          <w:rFonts w:asciiTheme="minorHAnsi" w:hAnsiTheme="minorHAnsi" w:cstheme="minorHAnsi"/>
          <w:sz w:val="24"/>
          <w:szCs w:val="24"/>
        </w:rPr>
        <w:t xml:space="preserve">) – instrukcja opracowana przez OSP na podstawie przepisów ustawy z dnia 10 kwietnia 1997 r. Prawo </w:t>
      </w:r>
      <w:r w:rsidR="00502E85">
        <w:rPr>
          <w:rFonts w:asciiTheme="minorHAnsi" w:hAnsiTheme="minorHAnsi" w:cstheme="minorHAnsi"/>
          <w:sz w:val="24"/>
          <w:szCs w:val="24"/>
        </w:rPr>
        <w:t>energetyczne (</w:t>
      </w:r>
      <w:proofErr w:type="spellStart"/>
      <w:r w:rsidR="00502E8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2E85">
        <w:rPr>
          <w:rFonts w:asciiTheme="minorHAnsi" w:hAnsiTheme="minorHAnsi" w:cstheme="minorHAnsi"/>
          <w:sz w:val="24"/>
          <w:szCs w:val="24"/>
        </w:rPr>
        <w:t>. Dz. U. z 2022 r. poz. 1385</w:t>
      </w:r>
      <w:r w:rsidRPr="000320DB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0320D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320DB">
        <w:rPr>
          <w:rFonts w:asciiTheme="minorHAnsi" w:hAnsiTheme="minorHAnsi" w:cstheme="minorHAnsi"/>
          <w:sz w:val="24"/>
          <w:szCs w:val="24"/>
        </w:rPr>
        <w:t>. zm.), zatwierdzona przez Prezesa URE, określająca warunki korzystania, prowadzenia ruchu, eksploatacji i planowania rozwoju sieci przesyłowej oraz zasady bilansowania systemu i zarządzania ograniczeniami systemowymi;</w:t>
      </w:r>
    </w:p>
    <w:p w14:paraId="635008CF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Generalna Umowa Dystrybucyjna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(GUD)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– umowa zawarta pomiędzy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Wykonawcą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OSD regulująca wzajemne prawa i obowiązki stron, umożliwiająca dystrybucję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energii elektrycznej do PPE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06ED9D9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07A81BD9" w14:textId="77777777" w:rsidR="007132FA" w:rsidRPr="0095206B" w:rsidRDefault="007132FA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57410848" w14:textId="77777777" w:rsidR="002D3385" w:rsidRPr="0095206B" w:rsidRDefault="002D3385" w:rsidP="00CB6998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Pozostałe pojęcia, niezdefiniowane w ust. 2 powyżej, posiadają znaczenie nadane im w taryfie OSD lub Taryfie Sprzedawcy, ustawie - Prawo energetyczne oraz aktach wykonawczych do wyżej wymienionej ustawy, jak również w </w:t>
      </w:r>
      <w:proofErr w:type="spellStart"/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IRiESD</w:t>
      </w:r>
      <w:proofErr w:type="spellEnd"/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.</w:t>
      </w:r>
    </w:p>
    <w:p w14:paraId="74E791B0" w14:textId="77777777" w:rsidR="00142AF3" w:rsidRPr="002E2175" w:rsidRDefault="00142AF3" w:rsidP="008A5604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2CCFD7A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D252AEE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Przedmiot umowy</w:t>
      </w:r>
    </w:p>
    <w:p w14:paraId="13B2C403" w14:textId="1C5AD2E0" w:rsidR="005827E8" w:rsidRPr="005827E8" w:rsidRDefault="00E44873" w:rsidP="005827E8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Przedmiotem Umowy jest określenie praw i obowiązków Stron związanych ze sprzedażą energii elektrycznej na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potrzeby Zamawiającego, na warunkach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określonych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przepisami ustawy Prawo energetyczne, przepisami Kodeksu cywilnego, zasadami określonymi w koncesjach, postanowieniach niniejszej Umowy oraz w 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oparciu o postanowienia 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lastRenderedPageBreak/>
        <w:t>Regulamin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 udzielania zamówień sektorowych w Spółce Gminny Zakład Gospodarki Komunalnej Sp.  z o.o.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 xml:space="preserve"> oraz Specyfikacji przetargowej.</w:t>
      </w:r>
    </w:p>
    <w:p w14:paraId="7660D693" w14:textId="573B6E7D" w:rsidR="00456516" w:rsidRPr="0095206B" w:rsidRDefault="00456516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nie obejmuje świadczenia usług dystrybucji energii elektrycznej zawieranej przez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przy pomocy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="008A5604" w:rsidRPr="0095206B">
        <w:rPr>
          <w:rFonts w:asciiTheme="minorHAnsi" w:hAnsiTheme="minorHAnsi" w:cstheme="minorHAnsi"/>
          <w:sz w:val="24"/>
          <w:szCs w:val="24"/>
          <w:lang w:val="pl-PL"/>
        </w:rPr>
        <w:t>OSD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na podstawie Pełnomocnictwa stanowiącego Załącznik nr 2 do Umowy.</w:t>
      </w:r>
    </w:p>
    <w:p w14:paraId="7C14BB43" w14:textId="530E230A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 energii elektrycznej odbywać się będzie za pośrednictwem sieci dystrybucyjnej należącej do Operatora Systemu Dystrybucyjnego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(zwanego dalej OSD)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tj. </w:t>
      </w:r>
      <w:r w:rsidR="000320DB" w:rsidRPr="002E2175">
        <w:rPr>
          <w:rFonts w:asciiTheme="minorHAnsi" w:hAnsiTheme="minorHAnsi" w:cstheme="minorHAnsi"/>
          <w:sz w:val="24"/>
          <w:szCs w:val="24"/>
          <w:lang w:val="pl-PL"/>
        </w:rPr>
        <w:t>ENEA Operator Sp. z o.o.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Warunki świadczenia usług dystrybucji określa odrębna umowa dystrybucyjna zawarta z OSD. </w:t>
      </w:r>
    </w:p>
    <w:p w14:paraId="4260EEE7" w14:textId="77777777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że dysponuje tytułem prawnym do korzystania  z obiektów, do których ma być dostarczana energia elektryczna na podstawie Umowy. Wykaz obiek</w:t>
      </w:r>
      <w:r w:rsidR="00D3224A" w:rsidRPr="0095206B">
        <w:rPr>
          <w:rFonts w:asciiTheme="minorHAnsi" w:hAnsiTheme="minorHAnsi" w:cstheme="minorHAnsi"/>
          <w:sz w:val="24"/>
          <w:szCs w:val="24"/>
          <w:lang w:val="pl-PL"/>
        </w:rPr>
        <w:t>tów zawiera Załącznik nr 1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</w:p>
    <w:p w14:paraId="1BB9ED9C" w14:textId="2E484FAE" w:rsidR="00F2185D" w:rsidRPr="0095206B" w:rsidRDefault="00F2185D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reguluje wyłącznie warunki sprzedaży energii elektrycznej i nie zastępuje umowy o świadczenie usług dystrybucji. Umowa nie obejmuje czynności związanych z dystrybucją energii elektrycznej, połączeniem, opomiarowaniem i jakością energii, wchodzących w zakres odrębnych umów o świadczenie usług dystrybucyjnych zawartych przez Zamawiającego z OSD.</w:t>
      </w:r>
    </w:p>
    <w:p w14:paraId="3089A06A" w14:textId="77777777" w:rsidR="00E44873" w:rsidRPr="0095206B" w:rsidRDefault="00E44873" w:rsidP="00296E4B">
      <w:pPr>
        <w:pStyle w:val="Akapitzlist"/>
        <w:spacing w:after="120" w:line="276" w:lineRule="auto"/>
        <w:ind w:left="1440"/>
        <w:rPr>
          <w:rFonts w:asciiTheme="minorHAnsi" w:hAnsiTheme="minorHAnsi" w:cstheme="minorHAnsi"/>
          <w:sz w:val="24"/>
          <w:szCs w:val="24"/>
          <w:lang w:val="pl-PL"/>
        </w:rPr>
      </w:pPr>
    </w:p>
    <w:p w14:paraId="2ADBCFFC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4DC6C958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Zobowiązania Stron</w:t>
      </w:r>
    </w:p>
    <w:p w14:paraId="5E2703CB" w14:textId="77777777" w:rsidR="00E44873" w:rsidRPr="0095206B" w:rsidRDefault="00E44873" w:rsidP="00CB6998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zobowiązuje się do:</w:t>
      </w:r>
    </w:p>
    <w:p w14:paraId="19C95FE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sprzedaży energii elektrycznej do obiektów Zamawiającego wymienionych w Załączniku nr 1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warunkami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Umowy,</w:t>
      </w:r>
    </w:p>
    <w:p w14:paraId="5D703279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zapewnienia Zamawiającemu dostępu do informacji o danych pomiarowo-rozliczeniowych energii elektrycznej pobranej przez </w:t>
      </w:r>
      <w:r w:rsidR="0081588E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poszczególnych punktach poboru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otrzymanych od OSD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44D2FD6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bilansowania handlowego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Zamawiającego w 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0310374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zgłoszenia Umowy sprzedaży energii elektrycznej do OSD w imieniu Zamawiającego,</w:t>
      </w:r>
    </w:p>
    <w:p w14:paraId="435E4365" w14:textId="446C323F" w:rsidR="003227C0" w:rsidRPr="0095206B" w:rsidRDefault="003B46EB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złożenia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imieniu 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oświadczenia o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wypowiedze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dotychczas obowiązujących umów kompleksowych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(o ile wystąpi taka konieczność)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na podst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awie załączonego do niniejszej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pełnomocnictwa,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stanowiącego Załącznik nr 2 do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mowy,</w:t>
      </w:r>
    </w:p>
    <w:p w14:paraId="124C53C2" w14:textId="760BF969" w:rsidR="003227C0" w:rsidRPr="0095206B" w:rsidRDefault="003227C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doprowadzeniu do zawarcia przez Zamawiającego umowy dystrybucyjnej z OSD, zgod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nie z załączonym do niniejszej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pełn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nictwem (Załącznik nr 2 do U</w:t>
      </w:r>
      <w:r w:rsidR="000E3B33">
        <w:rPr>
          <w:rFonts w:asciiTheme="minorHAnsi" w:hAnsiTheme="minorHAnsi" w:cstheme="minorHAnsi"/>
          <w:sz w:val="24"/>
          <w:szCs w:val="24"/>
          <w:lang w:val="pl-PL"/>
        </w:rPr>
        <w:t>mowy)</w:t>
      </w:r>
      <w:r w:rsidR="00761EA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535F9B1" w14:textId="77777777" w:rsidR="00303BF3" w:rsidRPr="0095206B" w:rsidRDefault="00303BF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reprezentowania Zamawiającego prze</w:t>
      </w:r>
      <w:r w:rsidR="00A11B23" w:rsidRPr="0095206B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OSD w procesie zmiany sprzedawcy,</w:t>
      </w:r>
    </w:p>
    <w:p w14:paraId="15EA0DDE" w14:textId="77777777" w:rsidR="00140B20" w:rsidRDefault="00140B2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zachowania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>ciągłości ważności dokumentów określonych w § 1 ust. 1 pkt 4) - 5)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22BED6" w14:textId="77777777" w:rsidR="00140B20" w:rsidRPr="00140B20" w:rsidRDefault="00140B20" w:rsidP="00140B20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przypadku, gdy okres obowiązywania Umowy jest dłuższy niż okres ważności dokumentów opisanych w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§ 1 ust.1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pkt 4) - 5), Wykonawca zobligowany jest w terminie nie późniejszym niż na miesiąc przed datą upływu ważności tych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lastRenderedPageBreak/>
        <w:t>dokumentów, przedłożyć Zamawiającemu oświadczenie: o posiadaniu aktualnej koncesji na obrót energia elektryczną i/lub aktualnej Generalnej Umowy Dystrybucyjnej zawartej z OSD.</w:t>
      </w:r>
    </w:p>
    <w:p w14:paraId="02FFF2A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zacji umowy ze strony 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jest Pan/Pani ……………………………………………….</w:t>
      </w:r>
    </w:p>
    <w:p w14:paraId="300BF0FE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55290655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Wykonawcy za kontakt w sprawach realizacji zleceń zakupu energii elektrycznej składanych przez Zamawiającego jest Pan/Pani ……………………………………………….</w:t>
      </w:r>
    </w:p>
    <w:p w14:paraId="21E4D55B" w14:textId="77777777" w:rsidR="00E44873" w:rsidRPr="0095206B" w:rsidRDefault="00153AC9" w:rsidP="00CC7579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62D9BBCE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zobowią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zuje si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ę do:</w:t>
      </w:r>
    </w:p>
    <w:p w14:paraId="0D7CC0A4" w14:textId="6CA5B26F" w:rsidR="000E3B33" w:rsidRDefault="000E3B3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zakupu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energii elektrycznej do PPE wskazanych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606AD12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pobierania energii 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zgodnie z obowiązującymi przepisami i warunkami Umowy,</w:t>
      </w:r>
    </w:p>
    <w:p w14:paraId="592A6035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terminowego regulowania należności za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zakupioną energię elektryczną,</w:t>
      </w:r>
    </w:p>
    <w:p w14:paraId="49B9B4D5" w14:textId="77777777" w:rsidR="00C7184E" w:rsidRPr="0095206B" w:rsidRDefault="00B80F5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rzekazywania Wykonawcy informacji o zmianach w umowach dystrybucyjnych mających wpływ na realizację Umowy oraz danych niezbędnych do dokonania czynności, do których Wykonawca zostanie umocowany przez Zamawiającego.</w:t>
      </w:r>
    </w:p>
    <w:p w14:paraId="745B3893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6A966080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do zapewnienia wzajemnego dostępu do danych, stanowiących podstawę do rozliczeń za dostarczoną energię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elektryczną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6010D81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bez pisemnej zgody Zamawiającego nie może przenieść wierzytelności wynikających z tej umowy na osobę trzecią ani dokonywać potrąceń.</w:t>
      </w:r>
    </w:p>
    <w:p w14:paraId="116FE323" w14:textId="77777777" w:rsidR="003D49A3" w:rsidRPr="0095206B" w:rsidRDefault="003D49A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iż planowane pobory energii elektrycznej w okresie obowiązywania niniejszej umowy okr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eślone są w Załączni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dla każdego z punktów poboru. Na tej podstawie szacuje się wartość niniejszej umowy na kwotę brutto z VAT w wysokości: ………………….. zł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(słownie: ………………………..)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Ilość energii elektrycznej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wskazanej w Załączniku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jak i oszacowana wartość umowy nie jest zobowiązaniem Zamawiającego do zużycia energii elektrycznej w podanej ilości i w żadnym wypadku nie może być podstawą 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>jakichkolwiek roszczeń ze strony Wykonawcy.</w:t>
      </w:r>
    </w:p>
    <w:p w14:paraId="0C695DF4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</w:t>
      </w:r>
      <w:r w:rsidR="00633D62" w:rsidRPr="0095206B">
        <w:rPr>
          <w:rFonts w:asciiTheme="minorHAnsi" w:hAnsiTheme="minorHAnsi" w:cstheme="minorHAnsi"/>
          <w:sz w:val="24"/>
          <w:szCs w:val="24"/>
          <w:lang w:val="pl-PL"/>
        </w:rPr>
        <w:t>e strony Zamawiającego jest Pan/Pani</w:t>
      </w:r>
    </w:p>
    <w:p w14:paraId="414621D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3A8E45B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7F169324" w14:textId="77777777" w:rsidR="00E44873" w:rsidRPr="0095206B" w:rsidRDefault="00E44873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Zamawiającego w sprawach realizacji zleceń zakup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8766B" w:rsidRPr="0095206B">
        <w:rPr>
          <w:rFonts w:asciiTheme="minorHAnsi" w:hAnsiTheme="minorHAnsi" w:cstheme="minorHAnsi"/>
          <w:sz w:val="24"/>
          <w:szCs w:val="24"/>
          <w:lang w:val="pl-PL"/>
        </w:rPr>
        <w:t>jest Pan/Pani</w:t>
      </w:r>
    </w:p>
    <w:p w14:paraId="2017B55B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48951F7A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Tel…………………………………., e-mail: ……………………………….</w:t>
      </w:r>
    </w:p>
    <w:p w14:paraId="1BE566BC" w14:textId="77777777" w:rsidR="00E44873" w:rsidRPr="0095206B" w:rsidRDefault="00E44873" w:rsidP="00296E4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4AA304DA" w14:textId="77777777" w:rsidR="00E44873" w:rsidRPr="0095206B" w:rsidRDefault="00E44873" w:rsidP="00C1048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AFDEEC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Standardy jako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ściowe.  Bilansowanie handlowe</w:t>
      </w:r>
    </w:p>
    <w:p w14:paraId="7B6D5CF0" w14:textId="77777777" w:rsidR="000E3B33" w:rsidRPr="000E3B33" w:rsidRDefault="000E3B3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zobowiązuje się do zapewnienia standardów jakościowych obsługi Zamawiającemu, m.in. poprzez:</w:t>
      </w:r>
    </w:p>
    <w:p w14:paraId="2D936617" w14:textId="227BEBF5" w:rsidR="000E3B33" w:rsidRP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sz w:val="24"/>
          <w:szCs w:val="24"/>
          <w:lang w:val="pl-PL"/>
        </w:rPr>
        <w:t>przyjmowanie zgłoszeń i reklamacji od Zamawiającego;</w:t>
      </w:r>
    </w:p>
    <w:p w14:paraId="0AC0406C" w14:textId="77777777" w:rsidR="000E3B33" w:rsidRPr="000E3B33" w:rsidRDefault="000E3B33" w:rsidP="00CB6998">
      <w:pPr>
        <w:pStyle w:val="Akapitzlist"/>
        <w:numPr>
          <w:ilvl w:val="0"/>
          <w:numId w:val="14"/>
        </w:numPr>
        <w:ind w:left="851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udzielanie informacji w sprawie zasad rozliczeń;</w:t>
      </w:r>
    </w:p>
    <w:p w14:paraId="2BBB3CCB" w14:textId="0C742E54" w:rsid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rozpatrywanie wniosków lub reklamacji Zamawiającego w sprawie rozliczeń i udzielania odpowiedzi nie później niż w terminie 14 dni od dnia złożenia wniosku lub zgłoszenia reklamacji, zgodnie zapisami w § 6 ust. 7 i 8.</w:t>
      </w:r>
    </w:p>
    <w:p w14:paraId="2ABDD1A9" w14:textId="57BCF21F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Odbiorcy. Bilansowanie rozumiane jest jako pokrycie strat wynikających z różnicy zużycia energii prognozowanego w stosunku do rzeczywistego w danym okresie rozliczeniowym.</w:t>
      </w:r>
    </w:p>
    <w:p w14:paraId="4F210EF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OSP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24914D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Wyłączenie odpowiedzialności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możliwe tylko w takim zakresie, w jakim zaistnienie danych przyczyn uniemożliwia realizację niniejszej Umowy.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Wykonawca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zobowiązany do niezwłocznego informowania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Zamawiającego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o wszelkich wystąpieniach przypadków siły wyższej mogących mieć wpływ na wykonanie Umowy.</w:t>
      </w:r>
    </w:p>
    <w:p w14:paraId="08B26663" w14:textId="77777777" w:rsidR="00F2185D" w:rsidRPr="0095206B" w:rsidRDefault="00F2185D" w:rsidP="001D3B84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F0EA05C" w14:textId="77777777" w:rsidR="00E44873" w:rsidRPr="0095206B" w:rsidRDefault="00E44873" w:rsidP="00C1048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 5</w:t>
      </w:r>
    </w:p>
    <w:p w14:paraId="2F2AAC56" w14:textId="77777777" w:rsidR="00E44873" w:rsidRPr="0095206B" w:rsidRDefault="00825B0D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Ceny energii elektrycznej</w:t>
      </w:r>
    </w:p>
    <w:p w14:paraId="13221A97" w14:textId="65AB373A" w:rsidR="00CC7579" w:rsidRPr="0095206B" w:rsidRDefault="00E44873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Tekst17"/>
      <w:r w:rsidRPr="0095206B">
        <w:rPr>
          <w:rFonts w:asciiTheme="minorHAnsi" w:hAnsiTheme="minorHAnsi" w:cstheme="minorHAnsi"/>
          <w:sz w:val="24"/>
          <w:szCs w:val="24"/>
          <w:lang w:val="pl-PL"/>
        </w:rPr>
        <w:t>Cena energii elektrycznej za MWh w okresie od 01.0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C1048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r.  do 31.12.20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wyliczana będzie 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>na podstawie poniższego algorytmu wyznaczani</w:t>
      </w:r>
      <w:r w:rsidR="00B54EE1" w:rsidRPr="0095206B">
        <w:rPr>
          <w:rFonts w:asciiTheme="minorHAnsi" w:hAnsiTheme="minorHAnsi" w:cstheme="minorHAnsi"/>
          <w:sz w:val="24"/>
          <w:szCs w:val="24"/>
          <w:lang w:val="pl-PL"/>
        </w:rPr>
        <w:t>a ceny jednostkowej, zawierającego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odniesienie do kontraktów terminowych oraz notowań Rynku Dnia Następnego na Towarowej Giełdzie Energii S.A. w Warszawie:</w:t>
      </w:r>
    </w:p>
    <w:p w14:paraId="1E62C0F0" w14:textId="73115E32" w:rsidR="00D3224A" w:rsidRPr="002E2175" w:rsidRDefault="00E44873" w:rsidP="00B6213D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E2175">
        <w:rPr>
          <w:rFonts w:asciiTheme="minorHAnsi" w:hAnsiTheme="minorHAnsi" w:cstheme="minorHAnsi"/>
          <w:b/>
          <w:bCs/>
          <w:sz w:val="24"/>
          <w:szCs w:val="24"/>
        </w:rPr>
        <w:t>C_</w:t>
      </w:r>
      <w:r w:rsidR="001E1F52" w:rsidRPr="002E217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C20EA" w:rsidRPr="002E217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E2175">
        <w:rPr>
          <w:rFonts w:asciiTheme="minorHAnsi" w:hAnsiTheme="minorHAnsi" w:cstheme="minorHAnsi"/>
          <w:b/>
          <w:bCs/>
          <w:sz w:val="24"/>
          <w:szCs w:val="24"/>
        </w:rPr>
        <w:t xml:space="preserve"> = M + </w:t>
      </w:r>
      <w:r w:rsidR="005C20EA" w:rsidRPr="002E2175">
        <w:rPr>
          <w:rFonts w:asciiTheme="minorHAnsi" w:hAnsiTheme="minorHAnsi" w:cstheme="minorHAnsi"/>
          <w:b/>
          <w:bCs/>
          <w:sz w:val="24"/>
          <w:szCs w:val="24"/>
        </w:rPr>
        <w:t>K_24</w:t>
      </w:r>
      <w:r w:rsidR="00363C95" w:rsidRPr="002E2175">
        <w:rPr>
          <w:rFonts w:asciiTheme="minorHAnsi" w:hAnsiTheme="minorHAnsi" w:cstheme="minorHAnsi"/>
          <w:b/>
          <w:bCs/>
          <w:sz w:val="24"/>
          <w:szCs w:val="24"/>
        </w:rPr>
        <w:t xml:space="preserve"> + A + </w:t>
      </w:r>
      <w:r w:rsidRPr="002E2175">
        <w:rPr>
          <w:rFonts w:asciiTheme="minorHAnsi" w:hAnsiTheme="minorHAnsi" w:cstheme="minorHAnsi"/>
          <w:b/>
          <w:bCs/>
          <w:sz w:val="24"/>
          <w:szCs w:val="24"/>
        </w:rPr>
        <w:t>I_BASE_</w:t>
      </w:r>
      <w:r w:rsidR="001E1F52" w:rsidRPr="002E217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C20EA" w:rsidRPr="002E217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E21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783F" w:rsidRPr="002E217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* </w:t>
      </w:r>
      <w:proofErr w:type="spellStart"/>
      <w:r w:rsidR="00E3783F" w:rsidRPr="002E2175">
        <w:rPr>
          <w:rFonts w:asciiTheme="minorHAnsi" w:hAnsiTheme="minorHAnsi" w:cstheme="minorHAnsi"/>
          <w:b/>
          <w:bCs/>
          <w:color w:val="FF0000"/>
          <w:sz w:val="24"/>
          <w:szCs w:val="24"/>
        </w:rPr>
        <w:t>Wb</w:t>
      </w:r>
      <w:proofErr w:type="spellEnd"/>
    </w:p>
    <w:p w14:paraId="4D9085DD" w14:textId="77777777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gdzie: </w:t>
      </w:r>
    </w:p>
    <w:p w14:paraId="3C6C3E7C" w14:textId="12B9F1ED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C_2</w:t>
      </w:r>
      <w:r w:rsidR="005C20E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- cena </w:t>
      </w:r>
      <w:r w:rsidR="00BA4FFE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energii elektrycznej </w:t>
      </w:r>
      <w:r w:rsidR="00E67A45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netto [zł/MWh], która zostanie przyjęta do rozliczeń pomiędzy Zamawiającym, a Wykonawcą dla danego okresu rozliczeniowego w roku</w:t>
      </w:r>
      <w:r w:rsidR="005C20EA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2024</w:t>
      </w:r>
      <w:r w:rsidR="00B3130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.</w:t>
      </w:r>
    </w:p>
    <w:p w14:paraId="1FA5F4AA" w14:textId="77777777" w:rsidR="00D3224A" w:rsidRPr="0095206B" w:rsidRDefault="00D3224A" w:rsidP="000464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CA7DA86" w14:textId="77777777" w:rsidR="00E44873" w:rsidRPr="0095206B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przy czym:</w:t>
      </w:r>
    </w:p>
    <w:p w14:paraId="0E772C70" w14:textId="52145C9C" w:rsidR="00E44873" w:rsidRPr="0095206B" w:rsidRDefault="00693C5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uwzględnia marżę 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bilansowania handlowego, opłaty transakcyjne,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koszt </w:t>
      </w:r>
      <w:proofErr w:type="spellStart"/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grafikowania</w:t>
      </w:r>
      <w:proofErr w:type="spellEnd"/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okresie obowiązywania umowy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zmienności grafiku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 Wysokość marży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ostała wskazana przez Wykonawcę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wynosi :</w:t>
      </w:r>
    </w:p>
    <w:p w14:paraId="0CF06B6E" w14:textId="77777777" w:rsidR="00693C54" w:rsidRPr="0095206B" w:rsidRDefault="00693C54" w:rsidP="00363C9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 ……………….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 netto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</w:t>
      </w:r>
    </w:p>
    <w:p w14:paraId="18C1ADC2" w14:textId="7611E5B7" w:rsidR="00BA7A76" w:rsidRPr="002738F9" w:rsidRDefault="00BA7A76" w:rsidP="00BA7A7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proofErr w:type="spellStart"/>
      <w:r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="00601596"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>b</w:t>
      </w:r>
      <w:proofErr w:type="spellEnd"/>
      <w:r w:rsidRPr="002738F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współczynnik profilu Zamawiającego dla roku 2024. </w:t>
      </w:r>
    </w:p>
    <w:p w14:paraId="5933ADA3" w14:textId="0412243A" w:rsidR="00BA7A76" w:rsidRPr="002738F9" w:rsidRDefault="00BA7A76" w:rsidP="00BA7A7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738F9">
        <w:rPr>
          <w:rFonts w:asciiTheme="minorHAnsi" w:hAnsiTheme="minorHAnsi" w:cstheme="minorHAnsi"/>
          <w:bCs/>
          <w:sz w:val="24"/>
          <w:szCs w:val="24"/>
          <w:lang w:val="pl-PL"/>
        </w:rPr>
        <w:t>Koszt profilu został określony we współczynniku przez Wykonawcę w Załączniku nr 3 do SWZ i wynosi:</w:t>
      </w:r>
    </w:p>
    <w:p w14:paraId="6CA1DDAA" w14:textId="3ADFD838" w:rsidR="00BA7A76" w:rsidRPr="002738F9" w:rsidRDefault="00BA7A76" w:rsidP="00BA7A7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proofErr w:type="spellStart"/>
      <w:r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="00601596"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>b</w:t>
      </w:r>
      <w:proofErr w:type="spellEnd"/>
      <w:r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2738F9">
        <w:rPr>
          <w:rFonts w:asciiTheme="minorHAnsi" w:hAnsiTheme="minorHAnsi" w:cstheme="minorHAnsi"/>
          <w:bCs/>
          <w:sz w:val="24"/>
          <w:szCs w:val="24"/>
          <w:lang w:val="pl-PL"/>
        </w:rPr>
        <w:t>= ……………………</w:t>
      </w:r>
    </w:p>
    <w:p w14:paraId="45AB9106" w14:textId="77777777" w:rsidR="00BA7A76" w:rsidRDefault="00BA7A76" w:rsidP="00BA7A76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E560AE9" w14:textId="4A05C3E1" w:rsidR="0012371D" w:rsidRPr="0095206B" w:rsidRDefault="00E44873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7B6B6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Koszt zakupu p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raw majątkowych dla roku 20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</w:p>
    <w:p w14:paraId="45ED9670" w14:textId="4391CA99" w:rsidR="00E44873" w:rsidRPr="0095206B" w:rsidRDefault="00E44873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Powyższe koszty uwzględniają ryzyko zmiany Prawa Energetycznego, w szczególności ewentualne zmiany udziału procentowego poszczególnych certyfikatów (praw majątkowych). Wysokości w/w kosztów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ostały wskazane przez Wykonawcę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wynoszą odpowiednio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: </w:t>
      </w:r>
    </w:p>
    <w:p w14:paraId="46B12206" w14:textId="2C70C3B6" w:rsidR="00363C95" w:rsidRPr="0095206B" w:rsidRDefault="007135F4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………….zł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netto /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MWh </w:t>
      </w:r>
    </w:p>
    <w:p w14:paraId="14732A22" w14:textId="77777777" w:rsidR="00363C95" w:rsidRPr="0095206B" w:rsidRDefault="00363C95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podatek akcyzowy, zgodnie z obowiązującymi przepisami w danym roku sprzedaży</w:t>
      </w:r>
    </w:p>
    <w:p w14:paraId="212407AF" w14:textId="77777777" w:rsidR="00E44873" w:rsidRPr="0095206B" w:rsidRDefault="00363C95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5,00 zł/MWh</w:t>
      </w:r>
    </w:p>
    <w:p w14:paraId="7E479A4A" w14:textId="6EB70790" w:rsidR="00E44873" w:rsidRDefault="00E44873" w:rsidP="000E7B3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I_BASE_</w:t>
      </w:r>
      <w:r w:rsidR="001E1F52"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2</w:t>
      </w:r>
      <w:r w:rsidR="005C20EA"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4</w:t>
      </w:r>
      <w:r w:rsidR="00B31303" w:rsidRPr="00124943">
        <w:rPr>
          <w:rFonts w:asciiTheme="minorHAnsi" w:hAnsiTheme="minorHAnsi" w:cstheme="minorHAnsi"/>
          <w:b/>
          <w:bCs/>
          <w:color w:val="00B050"/>
          <w:sz w:val="22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–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średnioważona wolumenem cena sprzedaży netto energii elektrycznej dla zakupionego wolumenu energii elektrycznej [zł/MWh] na </w:t>
      </w:r>
      <w:r w:rsidR="0025481F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Rynku Terminowym Produktów Energetycznych (RTPE)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ramach zleconych transz zakupu dla danego rodzaju kontraktu </w:t>
      </w:r>
      <w:r w:rsidR="00124943" w:rsidRPr="0012494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dla zakupionego wolumenu energii elektrycznej na Rynku Dnia Następnego (RDN) w oparciu o indeks TGe24 za dany miesiąc kalendarzowy. Cena</w:t>
      </w:r>
      <w:r w:rsidR="00B3130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1724B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1724BE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zostanie ustalona zgodnie z zasadami wskazanymi poniżej</w:t>
      </w:r>
      <w:r w:rsidR="00F7528C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5257B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</w:t>
      </w:r>
    </w:p>
    <w:p w14:paraId="51A70399" w14:textId="55AD28B0" w:rsidR="000366DE" w:rsidRPr="0095206B" w:rsidRDefault="000366DE" w:rsidP="000366DE">
      <w:pPr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pl-PL"/>
        </w:rPr>
        <w:drawing>
          <wp:inline distT="0" distB="0" distL="0" distR="0" wp14:anchorId="0083B7CB" wp14:editId="0F080F9F">
            <wp:extent cx="38004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01" cy="7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7030" w14:textId="77777777" w:rsidR="000931DC" w:rsidRPr="0095206B" w:rsidRDefault="000931DC" w:rsidP="00F7528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g</w:t>
      </w:r>
      <w:r w:rsidR="00E44873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dzie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  <w:r w:rsidR="00E44873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1551C864" w14:textId="2CDF2B05" w:rsidR="00ED1B60" w:rsidRPr="0095206B" w:rsidRDefault="00ED1B60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CRTPE - </w:t>
      </w:r>
      <w:r w:rsidR="00F53FBB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średnioważona wolumenem cena sprzedaży netto energii elektrycznej dla zakupionego wolumenu energii elektrycznej [zł/MWh] na Rynku Terminowym Produktów Energetycznych (RTPE) w ramach zleconych transz zakupu dla danego rodzaju kontraktu </w:t>
      </w:r>
      <w:r w:rsidR="00124943" w:rsidRPr="0012494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7D816DFB" w14:textId="4F93AD38" w:rsidR="00B940BC" w:rsidRPr="0095206B" w:rsidRDefault="00B940BC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WRTPE - </w:t>
      </w:r>
      <w:r w:rsidR="00F53FBB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wolumen energii elektrycznej [MWh] zakupiony w ramach zleceń zakupu transz na Rynku Terminowym Produktów Energetycznych (RTPE) dla danego okresu rozliczeniowego w ramach kontraktu </w:t>
      </w:r>
      <w:r w:rsidR="00124943" w:rsidRPr="0012494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965253A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 xml:space="preserve">CRDN - </w:t>
      </w:r>
      <w:r w:rsidR="0082238F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cena sprzedaży netto energii elektrycznej dla zakupionego wolumenu energii elektrycznej [</w:t>
      </w:r>
      <w:r w:rsidR="000E7B3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/MWh] na Rynku Dnia Następnego (RDN), jako średnia arytmetyczna z notowań za dany miesiąc kalendarzowy dla indeksu TGe24;</w:t>
      </w:r>
    </w:p>
    <w:p w14:paraId="68520366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WRDN - </w:t>
      </w:r>
      <w:r w:rsidR="0082238F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wolumen energii elektrycznej [MWh], zakupiony na Rynku Dnia Następnego (RDN</w:t>
      </w:r>
      <w:r w:rsidR="00A05BB4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– indeks TGe24) za dany miesiąc rozliczeniowy. W przypadku zakupu 100% wolumenu dla danego miesiąca rozliczeniowego na Rynku Terminowym Produktów Energetycznych (RTPE) w ramach zleconych transz zakupu, ilość WRDN wynosi 0 MWh.</w:t>
      </w:r>
    </w:p>
    <w:p w14:paraId="2D595E63" w14:textId="77777777" w:rsidR="00B940BC" w:rsidRPr="0095206B" w:rsidRDefault="00B940BC" w:rsidP="00B940B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886B8E1" w14:textId="77777777" w:rsidR="0082238F" w:rsidRPr="0095206B" w:rsidRDefault="0082238F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Dostępne dla Z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amawiającego produkty BASE,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liczba 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ielkość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transz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zakupu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4175"/>
      </w:tblGrid>
      <w:tr w:rsidR="0082238F" w:rsidRPr="0095206B" w14:paraId="05718DBF" w14:textId="77777777" w:rsidTr="003D6D31">
        <w:trPr>
          <w:trHeight w:val="70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6F836D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811D7D2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Nazwa produktu</w:t>
            </w:r>
            <w:r w:rsidR="00143C91"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na TGE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916A5B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Max. liczba transz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18AA0173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4D064AD4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Min. % wielkość danej transzy</w:t>
            </w:r>
          </w:p>
        </w:tc>
      </w:tr>
      <w:tr w:rsidR="002F3BB4" w:rsidRPr="0095206B" w14:paraId="179EF868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70578CFC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1.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9C88D04" w14:textId="1127D3ED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BASE_Q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 xml:space="preserve">produkt kwartalny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6BAD4" w14:textId="715ACDDF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9C01796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4E6718E" w14:textId="3955CD8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50% lub 100% dla danego kwartału</w:t>
            </w:r>
          </w:p>
        </w:tc>
      </w:tr>
      <w:tr w:rsidR="002F3BB4" w:rsidRPr="002E2175" w14:paraId="2546F187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48AC5A83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7193E4A" w14:textId="2ED0A98D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BASE_Y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>produkt roczny</w:t>
            </w: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6989" w14:textId="6526AFCC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879B5CA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4E58C5E" w14:textId="70400263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25% lub 50% lub 75% lub 100% dla danego roku</w:t>
            </w:r>
          </w:p>
        </w:tc>
      </w:tr>
    </w:tbl>
    <w:p w14:paraId="2ADF66C9" w14:textId="77777777" w:rsidR="00E44873" w:rsidRPr="0095206B" w:rsidRDefault="00E44873" w:rsidP="0082238F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776FEFD" w14:textId="0E3B07A0" w:rsidR="00E44873" w:rsidRPr="0095206B" w:rsidRDefault="00ED4DBC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Ceny energii elektrycznej 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I_BASE_24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wyznaczone w oparciu o kontrakty terminowe BASE notowane na T</w:t>
      </w:r>
      <w:r w:rsidR="00573398">
        <w:rPr>
          <w:rFonts w:asciiTheme="minorHAnsi" w:hAnsiTheme="minorHAnsi" w:cstheme="minorHAnsi"/>
          <w:bCs/>
          <w:sz w:val="24"/>
          <w:szCs w:val="24"/>
          <w:lang w:val="pl-PL"/>
        </w:rPr>
        <w:t>owarowej Giełdzie Energii S.A. w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Warszawie </w:t>
      </w:r>
      <w:r w:rsidR="00A64FC8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(TGE)</w:t>
      </w:r>
      <w:r w:rsidR="00A64FC8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zostaną naliczone zgodnie z następującymi zasadami:</w:t>
      </w:r>
    </w:p>
    <w:p w14:paraId="213A25C7" w14:textId="1C52D600" w:rsidR="00363767" w:rsidRPr="002738F9" w:rsidRDefault="00363767" w:rsidP="002738F9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2738F9">
        <w:rPr>
          <w:rFonts w:asciiTheme="minorHAnsi" w:hAnsiTheme="minorHAnsi" w:cstheme="minorHAnsi"/>
          <w:sz w:val="24"/>
          <w:szCs w:val="24"/>
          <w:lang w:val="pl-PL"/>
        </w:rPr>
        <w:t>Zamawiający składa do Wykonawcy zlecenie zakupu transzy w dniu „x” między godz. 8:00 a godz. 12:00 dla notowań RTPE TGE S.A. prowadzonych w dniu „x” (tj. bieżącym dniu roboczym) dla kontraktów odpowiadających danemu okresowi sprzedaży. Zlecenie wysyłane jest Wykonawcy na adres e-mail: …….. W zleceniu podana jest wielkość procentowa transzy oraz rodzaj produktu. Zakup wskazanej ilości produktu nastąpi po cenie odpowiadającej Dziennemu Kursowi Rozliczeniowemu (DKR) z dnia zgłoszenia.</w:t>
      </w:r>
    </w:p>
    <w:p w14:paraId="1C3645D3" w14:textId="463DFB0A" w:rsidR="003D5317" w:rsidRPr="002738F9" w:rsidRDefault="00083726" w:rsidP="003D5317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2738F9"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3D5317" w:rsidRPr="002738F9">
        <w:rPr>
          <w:rFonts w:asciiTheme="minorHAnsi" w:hAnsiTheme="minorHAnsi" w:cstheme="minorHAnsi"/>
          <w:sz w:val="24"/>
          <w:szCs w:val="24"/>
          <w:lang w:val="pl-PL"/>
        </w:rPr>
        <w:t xml:space="preserve">kładanie </w:t>
      </w:r>
      <w:r w:rsidRPr="002738F9">
        <w:rPr>
          <w:rFonts w:asciiTheme="minorHAnsi" w:hAnsiTheme="minorHAnsi" w:cstheme="minorHAnsi"/>
          <w:sz w:val="24"/>
          <w:szCs w:val="24"/>
          <w:lang w:val="pl-PL"/>
        </w:rPr>
        <w:t xml:space="preserve">samego </w:t>
      </w:r>
      <w:r w:rsidR="003D5317" w:rsidRPr="002738F9">
        <w:rPr>
          <w:rFonts w:asciiTheme="minorHAnsi" w:hAnsiTheme="minorHAnsi" w:cstheme="minorHAnsi"/>
          <w:sz w:val="24"/>
          <w:szCs w:val="24"/>
          <w:lang w:val="pl-PL"/>
        </w:rPr>
        <w:t xml:space="preserve">zamówienia przez Zamawiającego może się również odbywać na podstawie przesyłanego </w:t>
      </w:r>
      <w:r w:rsidR="009B324A" w:rsidRPr="002738F9">
        <w:rPr>
          <w:rFonts w:asciiTheme="minorHAnsi" w:hAnsiTheme="minorHAnsi" w:cstheme="minorHAnsi"/>
          <w:sz w:val="24"/>
          <w:szCs w:val="24"/>
          <w:lang w:val="pl-PL"/>
        </w:rPr>
        <w:t xml:space="preserve">na adres e-mail </w:t>
      </w:r>
      <w:r w:rsidR="003D5317" w:rsidRPr="002738F9">
        <w:rPr>
          <w:rFonts w:asciiTheme="minorHAnsi" w:hAnsiTheme="minorHAnsi" w:cstheme="minorHAnsi"/>
          <w:sz w:val="24"/>
          <w:szCs w:val="24"/>
          <w:lang w:val="pl-PL"/>
        </w:rPr>
        <w:t>uzupełnionego wzorca „Szablonu zamawiania transz” zaproponowanego przez Wykonawcę</w:t>
      </w:r>
      <w:r w:rsidR="00550F97" w:rsidRPr="002738F9">
        <w:rPr>
          <w:rFonts w:asciiTheme="minorHAnsi" w:hAnsiTheme="minorHAnsi" w:cstheme="minorHAnsi"/>
          <w:sz w:val="24"/>
          <w:szCs w:val="24"/>
          <w:lang w:val="pl-PL"/>
        </w:rPr>
        <w:t>, po uprzednim jego zatwierdzeniu przez Zamawiającego.</w:t>
      </w:r>
      <w:r w:rsidR="003D5317" w:rsidRPr="002738F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B9B5462" w14:textId="41012112" w:rsidR="003D5317" w:rsidRPr="002738F9" w:rsidRDefault="003D5317" w:rsidP="00363767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0E87479" w14:textId="04F16F4E" w:rsidR="00363767" w:rsidRPr="00712908" w:rsidRDefault="00363767" w:rsidP="0071290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712908">
        <w:rPr>
          <w:rFonts w:asciiTheme="minorHAnsi" w:hAnsiTheme="minorHAnsi" w:cstheme="minorHAnsi"/>
          <w:sz w:val="24"/>
          <w:szCs w:val="24"/>
          <w:lang w:val="pl-PL"/>
        </w:rPr>
        <w:t>Strony ustalają, że jeżeli w danym dniu „x” zawarto mniej niż 5 transakcji dla danego kontraktu lub, gdy łączny wolumen obrotu na TGE jest mniejszy lub równy 2 krotności wolumenu transzy zakupowej dla kontraktu, który był przedmiotem zlecenia zakupu transzy, to Wykonawcy przysługuje prawo odstąpienia od realizacji zlecenia Zamawiającego.</w:t>
      </w:r>
    </w:p>
    <w:p w14:paraId="25E3589C" w14:textId="77777777" w:rsidR="006D1360" w:rsidRPr="0095206B" w:rsidRDefault="00E44873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Potwierdzenie realizacji zlec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enia odsyłane jest 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tego samego dnia do godziny 15:00 na adres e-mail: </w:t>
      </w:r>
      <w:r w:rsidR="007135F4" w:rsidRPr="0095206B">
        <w:rPr>
          <w:rFonts w:asciiTheme="minorHAnsi" w:hAnsiTheme="minorHAnsi" w:cstheme="minorHAnsi"/>
          <w:sz w:val="24"/>
          <w:szCs w:val="24"/>
          <w:lang w:val="pl-PL"/>
        </w:rPr>
        <w:t>……..</w:t>
      </w:r>
      <w:r w:rsidR="00F1772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podaniem przez Wykonawcę 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>ceny zamów</w:t>
      </w:r>
      <w:r w:rsidR="00A64FC8" w:rsidRPr="0095206B">
        <w:rPr>
          <w:rFonts w:asciiTheme="minorHAnsi" w:hAnsiTheme="minorHAnsi" w:cstheme="minorHAnsi"/>
          <w:sz w:val="24"/>
          <w:szCs w:val="24"/>
          <w:lang w:val="pl-PL"/>
        </w:rPr>
        <w:t>ionej transzy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DCB1691" w14:textId="77777777" w:rsidR="00BC4445" w:rsidRPr="0095206B" w:rsidRDefault="00BC4445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Potwierdzenie braku realizacji zlecenia, w sytuacji odstąpienia przez Wykonawcę od realizacji zamówienia w przypadku braku zrealizowanych kontraktów/transakcji, odsyłane jest Zamawiającemu tego samego dnia do godziny 15:00 na adres e-mail: …….. ,</w:t>
      </w:r>
    </w:p>
    <w:p w14:paraId="09A04A96" w14:textId="7ACE9401" w:rsidR="00573398" w:rsidRPr="00ED3D68" w:rsidRDefault="00573398" w:rsidP="00ED3D6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D3D68">
        <w:rPr>
          <w:rFonts w:asciiTheme="minorHAnsi" w:hAnsiTheme="minorHAnsi" w:cstheme="minorHAnsi"/>
          <w:sz w:val="24"/>
          <w:szCs w:val="24"/>
          <w:lang w:val="pl-PL"/>
        </w:rPr>
        <w:t>Transakcja zakupu dla BASE_Y może być zlecona przez Zamawiającego w okresie od pierwszego dnia roboczego następującego po dniu zawarcia Umowy, do 20 dnia miesiąca poprzedzającego miesiąc rozpoczynający wykonanie kontraktu BASE_Y; z uwzględnieniem kalendarza notowań kontraktów terminowych TGE, przy czym składanie zamówień rozpoczyna się nie wcześniej niż pierwszego dnia roboczego miesiąca rozpoczynającego okres 18 miesięcy przed zakończeniem notowań danego kontraktu.</w:t>
      </w:r>
    </w:p>
    <w:p w14:paraId="608B66FC" w14:textId="22382D24" w:rsidR="00573398" w:rsidRPr="00ED3D68" w:rsidRDefault="00573398" w:rsidP="00573398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ED3D68">
        <w:rPr>
          <w:rFonts w:asciiTheme="minorHAnsi" w:hAnsiTheme="minorHAnsi" w:cstheme="minorHAnsi"/>
          <w:sz w:val="24"/>
          <w:szCs w:val="24"/>
          <w:lang w:val="pl-PL"/>
        </w:rPr>
        <w:t xml:space="preserve">Transakcja zakupu dla BASE_Q może być zlecona przez Zamawiającego w okresie od pierwszego dnia roboczego następującego po dniu zawarcia Umowy do 20 dnia miesiąca poprzedzającego kwartał </w:t>
      </w:r>
      <w:r w:rsidR="00F95021" w:rsidRPr="00ED3D68">
        <w:rPr>
          <w:rFonts w:asciiTheme="minorHAnsi" w:hAnsiTheme="minorHAnsi" w:cstheme="minorHAnsi"/>
          <w:sz w:val="24"/>
          <w:szCs w:val="24"/>
          <w:lang w:val="pl-PL"/>
        </w:rPr>
        <w:t xml:space="preserve">sprzedaży dla kontraktu BASE_Q; </w:t>
      </w:r>
      <w:r w:rsidRPr="00ED3D68">
        <w:rPr>
          <w:rFonts w:asciiTheme="minorHAnsi" w:hAnsiTheme="minorHAnsi" w:cstheme="minorHAnsi"/>
          <w:sz w:val="24"/>
          <w:szCs w:val="24"/>
          <w:lang w:val="pl-PL"/>
        </w:rPr>
        <w:t>z uwzględnieniem kalendarza notowań kontraktów terminowych TGE, przy czym składanie zamówień rozpoczyna się nie wcześniej niż pierwszego dnia roboczego miesiąca rozpoczynającego okres 12 miesięcy przed zakończeniem notowań danego kontraktu.</w:t>
      </w:r>
    </w:p>
    <w:p w14:paraId="212DB9AD" w14:textId="1C12D422" w:rsidR="005550C3" w:rsidRPr="00171C2E" w:rsidRDefault="005550C3" w:rsidP="00171C2E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171C2E">
        <w:rPr>
          <w:rFonts w:asciiTheme="minorHAnsi" w:hAnsiTheme="minorHAnsi" w:cstheme="minorHAnsi"/>
          <w:sz w:val="24"/>
          <w:szCs w:val="24"/>
          <w:lang w:val="pl-PL"/>
        </w:rPr>
        <w:t xml:space="preserve">Strony ustalają, </w:t>
      </w:r>
      <w:r w:rsidRPr="00171C2E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iż w przypadku braku zabezpieczenia przez Zamawiającego 100% deklarowanego wolumenu dla wszystkich punktu poboru energii objętych umową do 20 dnia miesiąca poprzedzającego miesiąc rozpoczynający wykonania danego kontraktu dostaw w ramach produktu </w:t>
      </w:r>
      <w:r w:rsidRPr="00171C2E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Pr="00171C2E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, Wykonawca na potrzeby wyliczenia ceny </w:t>
      </w:r>
      <w:r w:rsidRPr="00171C2E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I_BASE_24</w:t>
      </w:r>
      <w:r w:rsidRPr="00171C2E">
        <w:rPr>
          <w:rFonts w:asciiTheme="minorHAnsi" w:hAnsiTheme="minorHAnsi" w:cstheme="minorHAnsi"/>
          <w:iCs/>
          <w:sz w:val="24"/>
          <w:szCs w:val="24"/>
          <w:lang w:val="pl-PL"/>
        </w:rPr>
        <w:t>, rozliczy niezakontraktowany deklarowany wolumen według notowań indeksu TGe24 na Rynku Dnia Następnego dla danego miesiąca kalendarzowego.</w:t>
      </w:r>
    </w:p>
    <w:p w14:paraId="2263B487" w14:textId="4DD234A0" w:rsidR="00E44873" w:rsidRPr="0095206B" w:rsidRDefault="00E44873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uzyskane po realizacji zlecenia zakupu zgodnie w w/w mechanizmem mogą ulec zmianie wyłącznie w przypadku usta</w:t>
      </w:r>
      <w:r w:rsidR="009B324A">
        <w:rPr>
          <w:rFonts w:asciiTheme="minorHAnsi" w:hAnsiTheme="minorHAnsi" w:cstheme="minorHAnsi"/>
          <w:sz w:val="24"/>
          <w:szCs w:val="24"/>
          <w:lang w:val="pl-PL"/>
        </w:rPr>
        <w:t>wowej zmiany stawki podatku VAT,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podatku akcyzowego</w:t>
      </w:r>
      <w:r w:rsidR="009B324A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326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zgodnie z postanowieniami </w:t>
      </w:r>
      <w:r w:rsidR="00326F0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§ 7 Umowy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bookmarkEnd w:id="3"/>
    </w:p>
    <w:p w14:paraId="66117402" w14:textId="6C31DF5E" w:rsidR="007135F4" w:rsidRPr="0095206B" w:rsidRDefault="007135F4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okre</w:t>
      </w:r>
      <w:r w:rsidR="001F413D" w:rsidRPr="0095206B">
        <w:rPr>
          <w:rFonts w:asciiTheme="minorHAnsi" w:hAnsiTheme="minorHAnsi" w:cstheme="minorHAnsi"/>
          <w:sz w:val="24"/>
          <w:szCs w:val="24"/>
          <w:lang w:val="pl-PL"/>
        </w:rPr>
        <w:t>ślone w ust. 1 obowiązują także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dla nowo przyłączonych obiektów do sieci elektroenergetycznej OSD</w:t>
      </w:r>
      <w:r w:rsidR="00C20F4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zastrzeżeniem §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Umowy.</w:t>
      </w:r>
    </w:p>
    <w:p w14:paraId="469C702E" w14:textId="06D917E3" w:rsidR="007E34D8" w:rsidRPr="0095206B" w:rsidRDefault="007B6B60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cza, że zlecenia zakupu zgodnie</w:t>
      </w:r>
      <w:r w:rsidR="00D1246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zasadami określonymi w ust. 3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niniejszego paragrafu w jego 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mieniu składać będzie </w:t>
      </w:r>
      <w:r w:rsidR="00D537FB" w:rsidRPr="00D537FB">
        <w:rPr>
          <w:rFonts w:asciiTheme="minorHAnsi" w:hAnsiTheme="minorHAnsi" w:cstheme="minorHAnsi"/>
          <w:bCs/>
          <w:iCs/>
          <w:sz w:val="24"/>
          <w:szCs w:val="24"/>
          <w:lang w:val="pl-PL"/>
        </w:rPr>
        <w:t>Gminny Zakład Gospodarki Komunalnej Spółka z o.o. w Ch</w:t>
      </w:r>
      <w:r w:rsidR="000D21BE">
        <w:rPr>
          <w:rFonts w:asciiTheme="minorHAnsi" w:hAnsiTheme="minorHAnsi" w:cstheme="minorHAnsi"/>
          <w:bCs/>
          <w:iCs/>
          <w:sz w:val="24"/>
          <w:szCs w:val="24"/>
          <w:lang w:val="pl-PL"/>
        </w:rPr>
        <w:t>arzykowach</w:t>
      </w:r>
      <w:r w:rsidR="00F0320B" w:rsidRPr="00D537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0320B" w:rsidRPr="0095206B">
        <w:rPr>
          <w:rFonts w:asciiTheme="minorHAnsi" w:hAnsiTheme="minorHAnsi" w:cstheme="minorHAnsi"/>
          <w:sz w:val="24"/>
          <w:szCs w:val="24"/>
          <w:lang w:val="pl-PL"/>
        </w:rPr>
        <w:t>lub wyznaczony przez niego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pełnomocnik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886D6C" w14:textId="77777777" w:rsidR="0048629D" w:rsidRPr="0095206B" w:rsidRDefault="0048629D" w:rsidP="00296E4B">
      <w:pPr>
        <w:pStyle w:val="Akapitzlist"/>
        <w:overflowPunct w:val="0"/>
        <w:spacing w:after="120"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EDACAD5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0AA43E4D" w14:textId="77777777" w:rsidR="00E44873" w:rsidRPr="0095206B" w:rsidRDefault="003E7107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Rozliczenia i Płatności</w:t>
      </w:r>
    </w:p>
    <w:p w14:paraId="59F6B92F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Rozliczenia za pobraną energię elektryczną odbywać się będą w okresach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rozliczeniowych stosowanyc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h przez OSD i na podstawie odczytów z układów pomiarowo-rozliczeniowych udostępnionych Wykonawcy przez OSD.</w:t>
      </w:r>
    </w:p>
    <w:p w14:paraId="692B162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wystawienia faktur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VAT obejmujących należności za dany okres rozliczeniowy w terminie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do 1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od daty otrzymania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danych pomiarowych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rozliczeniowych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>od OSD</w:t>
      </w:r>
      <w:r w:rsidR="00A92F3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4FE3E26" w14:textId="5CE2A752" w:rsidR="00E44873" w:rsidRPr="0095206B" w:rsidRDefault="00E44873" w:rsidP="00CB6998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Należność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 sprzedaną energię elektryczną w okresach rozliczeniowych obliczana będzie indywidualnie dla punktu poboru jako iloczyn ilości sprzedanej energii elektrycznej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ustalonej na podstawie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danych pomiarowo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rozliczeniowych przekazywanych Wykonawcy 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przez OSD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>i cen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jednostkow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energii elektrycznej określon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="0065466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§ 5 Umowy. Do wyliczonej należności Wykonawca doliczy podatek VAT według obowiązującej </w:t>
      </w:r>
      <w:r w:rsidR="00D537FB" w:rsidRPr="00D537FB">
        <w:rPr>
          <w:rFonts w:asciiTheme="minorHAnsi" w:hAnsiTheme="minorHAnsi" w:cstheme="minorHAnsi"/>
          <w:sz w:val="24"/>
          <w:szCs w:val="24"/>
          <w:lang w:val="pl-PL"/>
        </w:rPr>
        <w:t>w dniu wystawienia faktury stawki podatku VAT</w:t>
      </w:r>
      <w:r w:rsidRPr="0095206B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</w:p>
    <w:p w14:paraId="18A2F912" w14:textId="77777777" w:rsidR="00E44873" w:rsidRPr="0095206B" w:rsidRDefault="00E44873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Należności za energię elektryczną regulowane będą na podstawie faktur V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AT wystawianych przez Wykonawcę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zgodnie z Załącznikiem nr 1 do U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>mowy stanowiącym szczegółowy podział odbiorów energii elektrycznej Zamawiającego.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344D825" w14:textId="1FFAF1FC" w:rsidR="00451D85" w:rsidRPr="0008652E" w:rsidRDefault="00451D85" w:rsidP="0008652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652E">
        <w:rPr>
          <w:rFonts w:asciiTheme="minorHAnsi" w:hAnsiTheme="minorHAnsi" w:cstheme="minorHAnsi"/>
          <w:sz w:val="24"/>
          <w:szCs w:val="24"/>
          <w:lang w:val="pl-PL"/>
        </w:rPr>
        <w:t>Faktury będą płatne przelewem przez Zamawiającego na konto Wykonawcy wskazane w fakturze, w terminie do 21 dni od dnia jej wystawienia przez Wykonawcę pod warunkiem, że faktura wpłynie do Zamawiającego nie później niż 7 dni przed upływem terminu płatności. W przypadku opóźnień w dostarczeniu do Zamawiającego wystawionej faktury, termin płatności ulegnie przesunięciu o liczbę dni opóźnienia w dostarczeniu faktury.</w:t>
      </w:r>
    </w:p>
    <w:p w14:paraId="2AC78C4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każdej faktury Wykonawca załączy i prześle specyfikację określającą ilości energii elektrycznej czynnej pobranej przez każdy 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="004617A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wysokość należności z tego tytułu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gdy wzór faktury Wykonawcy zawiera informacje określone powyżej, Wykonawca nie jest zobowiązany do załączania dodatkowej specyfikacji.</w:t>
      </w:r>
    </w:p>
    <w:p w14:paraId="445DB951" w14:textId="79AC72CD" w:rsidR="00E27E3D" w:rsidRPr="0095206B" w:rsidRDefault="00E27E3D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uzasadnionych wątpliwości co do prawidłowości wystawionej faktury Zamawiający złoży pisemną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 xml:space="preserve">lub mailową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reklamację, dołączając jednocześnie kopię spornej faktury. Reklamacja winna być rozpatrzona przez Wykonawcę w terminie do 14 dni od daty jej otrzymania.</w:t>
      </w:r>
    </w:p>
    <w:p w14:paraId="5A9B285F" w14:textId="1619175D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ycie wskazań układu pomiarowo -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rozliczeniowego, które spowodowały zawyżenie lub zaniżenie należności za pobraną energię Wykonawca dokona korekt up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>rzednio wystawionych faktur VAT w terminie 14 dni od otrzymanej reklamacji.</w:t>
      </w:r>
    </w:p>
    <w:p w14:paraId="0D68BD73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nie dotrzymania terminu płatności </w:t>
      </w:r>
      <w:r w:rsidR="00713CF6" w:rsidRPr="0095206B">
        <w:rPr>
          <w:rFonts w:asciiTheme="minorHAnsi" w:hAnsiTheme="minorHAnsi" w:cstheme="minorHAnsi"/>
          <w:sz w:val="24"/>
          <w:szCs w:val="24"/>
          <w:lang w:val="pl-PL"/>
        </w:rPr>
        <w:t>Wykonawca może obciążyć 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odsetkami ustawowymi.</w:t>
      </w:r>
    </w:p>
    <w:p w14:paraId="06389EB3" w14:textId="67BD125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 zmianach danych kont bankowych lub danych adresowych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Strony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zobowiązują się wzajemnie powiadamiać.</w:t>
      </w:r>
    </w:p>
    <w:p w14:paraId="452CFC2A" w14:textId="77777777" w:rsidR="004617A8" w:rsidRPr="0095206B" w:rsidRDefault="004617A8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69D2A781" w14:textId="77777777" w:rsidR="00BA4FFE" w:rsidRPr="0095206B" w:rsidRDefault="000E0FAC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oświadcza, że jest wpisany do Wykazu podatników VAT, prowadzonego przez Szefa Krajowej Administracji Skarbowej na podstawie art. 96b Ustawy z dnia 11 marca 2004 r. o podatku od towarów i usług (D.U. z 2018 r. poz. 2174 z </w:t>
      </w:r>
      <w:proofErr w:type="spellStart"/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. zm.).</w:t>
      </w:r>
    </w:p>
    <w:p w14:paraId="5170EE4F" w14:textId="77777777" w:rsidR="00BA4FFE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wskazać odpowiedni do spełnienia świadczenia wynikającego z niniejszej Umowy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74731C7F" w14:textId="77777777" w:rsidR="00E44873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Fakturowanie pomiędzy Stronami obowiązuje w formie wybranej przez Wykonawcę tj. w formie tradycyjnej papierowej lub elektronicznej poprzez Platformę Elektronicznego Fakturowania (PEF) albo na adres e-mail: </w:t>
      </w:r>
      <w:hyperlink r:id="rId8" w:history="1">
        <w:r w:rsidR="00AA52FE" w:rsidRPr="0095206B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………………………………………………..</w:t>
        </w:r>
      </w:hyperlink>
    </w:p>
    <w:p w14:paraId="7F191F21" w14:textId="77777777" w:rsidR="006D1A18" w:rsidRPr="0095206B" w:rsidRDefault="000A3DCD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7</w:t>
      </w:r>
    </w:p>
    <w:p w14:paraId="01CC43E1" w14:textId="24F62DDD" w:rsidR="006D1A18" w:rsidRPr="0095206B" w:rsidRDefault="001A5B15" w:rsidP="0095362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Zmiana</w:t>
      </w:r>
      <w:r w:rsidR="006A064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</w:t>
      </w:r>
    </w:p>
    <w:p w14:paraId="1454D134" w14:textId="77777777" w:rsidR="0095362E" w:rsidRPr="0095206B" w:rsidRDefault="0095362E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14EA6FCB" w14:textId="3E253CB6" w:rsidR="0095362E" w:rsidRPr="0095206B" w:rsidRDefault="005827E8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D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opuszcza się możliwość wprowadzenia istotn</w:t>
      </w:r>
      <w:r w:rsidR="0002656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ych zmian postanowień zawartej U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mowy w stosunku do treści oferty, w następujących przypadkach:</w:t>
      </w:r>
    </w:p>
    <w:p w14:paraId="00CF7632" w14:textId="77777777" w:rsidR="003C2C89" w:rsidRPr="0095206B" w:rsidRDefault="003C2C89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 przypadku zmiany przepisów prawa, opublikowanej w Dzienniku Urzędowym Unii Europejskiej,  Dzienniku  Ustaw,  Monitorze  Polskim  lub  Dzienniku  Urzędowym odpowiedniego ministra, Zamawiający dopuszcza zmiany sposobu realizacji Umowy lub zmiany zakresu świadczeń Wykonawcy wymuszone takimi zmianami prawa;</w:t>
      </w:r>
    </w:p>
    <w:p w14:paraId="31F61F87" w14:textId="2C966A52" w:rsidR="0095362E" w:rsidRPr="0095206B" w:rsidRDefault="0095362E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ulegają korekcie o wartość wynikającą z powyższych zmian. Nowe ceny energii elektrycznej będą obowiązujące dla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i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4A243CD5" w14:textId="422569EB" w:rsidR="0095362E" w:rsidRPr="006D3783" w:rsidRDefault="006D3783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ilości Punktów Poboru energii elektrycznej. Zmiana ilości Punktów Poboru energii elektrycznej wynikać może z likwidacji Punktu Poboru lub włączenia nowego obiektu do eksploatacji przez Zamawiającego</w:t>
      </w:r>
      <w:r w:rsidR="0095362E"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5D4B50F9" w14:textId="77777777" w:rsidR="003C2C89" w:rsidRPr="0095206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zmian, które nie mają charakteru istotnego, to jest innych niż zdefiniowane w art. 454 ust. 2 ustawy </w:t>
      </w:r>
      <w:proofErr w:type="spellStart"/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Pzp</w:t>
      </w:r>
      <w:proofErr w:type="spellEnd"/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2D6E57F8" w14:textId="77777777" w:rsidR="003C2C89" w:rsidRPr="0095206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na zasadach określonych w art. 455 ust.1.</w:t>
      </w:r>
    </w:p>
    <w:p w14:paraId="7E966274" w14:textId="4B9C8E3A" w:rsidR="006D3783" w:rsidRPr="006D3783" w:rsidRDefault="006D3783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Zamawiający ma prawo do zwiększenia ilości punktów poboru energii elektrycznej o których mowa w Załączniku nr 1 Umowy poprzez zawarcie stosownego aneksu do Umowy pod warunkiem, iż w/w odbiory zakwalifikowane będą do grup taryfowych ujętych w </w:t>
      </w: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przedmiotowym postępowaniu przetargowym. Zwiększenie ilości punktów poboru energii elektrycznej nie może przekroczyć 10% ilości punktów poboru energii elektrycznej wynikającej z ww. Załącznika. Rozliczenie dodatkowych punktów poboru energii elektrycznej będzie się odbywać odpowiednio do pierwotnej części zamówienia i według tej samej ceny jednostkowej dla danego okresu dostawy.</w:t>
      </w:r>
    </w:p>
    <w:p w14:paraId="7D319411" w14:textId="77777777" w:rsidR="003C2C89" w:rsidRPr="0095206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720A3B3F" w14:textId="6D6AB802" w:rsidR="003C2C89" w:rsidRPr="0095206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umowy, pod rygorem nieważności, mogą być dokonywane na warunkach określonych przez przepisy prawa, wyłącznie za zgodą obu Stron, w formie pisemnej.</w:t>
      </w:r>
    </w:p>
    <w:p w14:paraId="0D8FCF75" w14:textId="77777777" w:rsidR="006D1A18" w:rsidRPr="0095206B" w:rsidRDefault="006D1A18" w:rsidP="00296E4B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11680D0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</w:p>
    <w:p w14:paraId="3758861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Okres obowiąz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ywania Umowy. Rozwiązanie Umowy</w:t>
      </w:r>
    </w:p>
    <w:p w14:paraId="5A1C70ED" w14:textId="15216CB3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zawarta zostaje na czas określony od dnia 01.0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do dnia 31.12.20</w:t>
      </w:r>
      <w:r w:rsidR="00D1552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D5E0E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każdego punktu poboru energii elektrycznej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opisanego w Załączniku nr 1 do U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mowy z dniem wskazanym w kolumnie „Okres dostaw”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dotychczasowych umów kompleksowych, a także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po pozytywnie przeprowadzonej procedurze zmiany sprzedawcy i zawarciu nowych umów dystrybucyjnych.</w:t>
      </w:r>
    </w:p>
    <w:p w14:paraId="6FF7B62C" w14:textId="09156F1C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Rozpoczęcie sprzedaży energii elektrycznej następuje ze stanem wskazań układu pomiarowo – rozliczeniowego podanym przez OSD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65436A1" w14:textId="31D9915E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66FC2014" w14:textId="110A37B6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12E88370" w14:textId="794BC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zapewnia sprzedaży energii elektrycznej w sposób zgodny z warunkami niniejszej Umowy;</w:t>
      </w:r>
    </w:p>
    <w:p w14:paraId="259CE9A4" w14:textId="57708EBC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</w:t>
      </w:r>
    </w:p>
    <w:p w14:paraId="203CF69F" w14:textId="7B380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</w:t>
      </w:r>
    </w:p>
    <w:p w14:paraId="1965FA61" w14:textId="35CB5F8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 xml:space="preserve">Wykonawca wykonuje niniejszą Umowę w sposób sprzeczny z obowiązującymi </w:t>
      </w:r>
      <w:r w:rsidRPr="006D3783">
        <w:rPr>
          <w:rFonts w:asciiTheme="minorHAnsi" w:hAnsiTheme="minorHAnsi" w:cstheme="minorHAnsi"/>
          <w:sz w:val="24"/>
          <w:szCs w:val="24"/>
          <w:lang w:val="pl-PL"/>
        </w:rPr>
        <w:br/>
        <w:t>w Polsce przepisami prawa, w szczególności przepisami przywołanymi w § 1 ust. 1 pkt 1 - 7 niniejszej Umowy</w:t>
      </w:r>
    </w:p>
    <w:p w14:paraId="7E79BB01" w14:textId="25948DE5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</w:t>
      </w:r>
    </w:p>
    <w:p w14:paraId="22C92128" w14:textId="379E431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3 i 8 niniejszego paragrafu, następuje w trybie natychmiastowym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0250EC4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Umowa może być rozwiązana przez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bez wypowiedzenia w przypadku, gdy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pomimo pisemnego wezwania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 wyznaczenia 14 dniowego terminu na usunięcie lub zaniechanie naruszeń nadal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rażąco i uporczywie narusza warunki Umowy.</w:t>
      </w:r>
    </w:p>
    <w:p w14:paraId="78B4206F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49D269A7" w14:textId="5EF9E310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388D24D" w14:textId="472FDFA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65CD2E5B" w14:textId="5158D7EC" w:rsidR="005E2ED9" w:rsidRDefault="005E2ED9" w:rsidP="00CB699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 xml:space="preserve">Wykonawca w chwili zawarcia Umowy podlegał wykluczeniu na podstawie art. 108 ustawy </w:t>
      </w:r>
      <w:proofErr w:type="spellStart"/>
      <w:r w:rsidRPr="005E2ED9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C092F5B" w14:textId="5B77A212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przypadku, o którym mowa w ust. 8 pkt 1 niniejszego paragrafu Umowy, Zamawiający odstępuje od Umowy w części, której zmiana dotyczy.</w:t>
      </w:r>
    </w:p>
    <w:p w14:paraId="43A93F87" w14:textId="3BE720F8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przypadkach, o których mowa w ust. 7 i 8 niniejszego paragrafu Umowy, Wykonawca może żądać wyłącznie wynagrodzenia należnego z tytułu wykonania części Umowy.</w:t>
      </w:r>
    </w:p>
    <w:p w14:paraId="361980B2" w14:textId="741B5E86" w:rsidR="008824A5" w:rsidRPr="005E2ED9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ma prawo do rezygnacji z punktów odbiorów wymienionych w Załączniku nr 1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5140F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przekazania, sprzedaży, wynajmu obiektu innemu właścicielowi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zamknięcia lub likwidacji obiektu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 sytuacji wykonania </w:t>
      </w:r>
      <w:proofErr w:type="spellStart"/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="004F5A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źródłach energii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F65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a Wykonawcy nie będą z tego tytułu przysługiwały względem Zamawiającego żadne roszczenia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B6AFC51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</w:p>
    <w:p w14:paraId="225E6620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Kary umowne</w:t>
      </w:r>
    </w:p>
    <w:p w14:paraId="1919B795" w14:textId="137DD16D" w:rsidR="005733B0" w:rsidRPr="005733B0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Wykonawca zapłaci Zamawiającemu karę umowną za odstąpienie od umowy / rozwiązania umowy przez Zamawiającego lub Wykonawcę z przyczyn leżących po stronie Wykonawcy w wysokości </w:t>
      </w:r>
      <w:r w:rsidR="00356F6C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% wartości umowy brutto wskazanej w § 3 ust. 6. </w:t>
      </w:r>
    </w:p>
    <w:p w14:paraId="1A80A408" w14:textId="343AE489" w:rsidR="00A41405" w:rsidRPr="0095206B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Zamawiający zapłaci Wykonawcy karę umowną za odstąpienie od umowy / rozwiązanie umowy przez Zamawiającego z przyczyn leżących po stronie Zamawiającego w wysokości </w:t>
      </w:r>
      <w:r w:rsidR="00356F6C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>% wartości umowy brutto wskazanej w § 3 ust. 6.</w:t>
      </w:r>
    </w:p>
    <w:p w14:paraId="5421888B" w14:textId="77777777" w:rsidR="0050255F" w:rsidRPr="0095206B" w:rsidRDefault="00AA52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Niezależnie od uprawnień do naliczenia kar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umownych wymienionych w ust. 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Zamawiającemu przysługuje od Wykonawcy odszkodowanie w związku z poniesionymi kosztami zakupu energii elektrycznej kupionej na warunkach innych niż wynikające z niniejszej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zastępstwa Wykonawcy będzie świadczył usługę sprzedaży energii elektrycznej będzie stanowił różnicę między kosztami energii zakupionej od Sprzedawcy rezerwowego, a energii, która była zakupiona na podstawie niniejszej umowy sprzedaży zawartej z Wykonawcą.</w:t>
      </w:r>
    </w:p>
    <w:p w14:paraId="25801AD5" w14:textId="77777777" w:rsidR="00A41405" w:rsidRPr="0095206B" w:rsidRDefault="00E44873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Zapłata kar umownych nie wyłącza prawa do 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dochodzenia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odszkodowania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uzupełniającego przewyższającego wartość nałożonych kar umownych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zasadach ogólnych.</w:t>
      </w:r>
    </w:p>
    <w:p w14:paraId="3E922B28" w14:textId="77777777" w:rsidR="00DB7642" w:rsidRPr="0095206B" w:rsidRDefault="00BA4F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Formą obciążenia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karą umowną jest nota obciążeniowa. Karę umowną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zapłaci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otrzymanej noty obciążeniowej na wskazany rachunek bankowy, w terminie 10 dni od daty wpływu do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 przypadku braku zapłaty w wyznaczonym terminie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ma prawo potrącić naliczoną karę umowną z wynagrodzenia należnego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niniejszej Umowy lub z innej dowolnej należności przysługującej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względem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Zamawiającemu.</w:t>
      </w:r>
    </w:p>
    <w:p w14:paraId="088E65D7" w14:textId="77777777" w:rsidR="00D15529" w:rsidRPr="0095206B" w:rsidRDefault="00D15529" w:rsidP="00296E4B">
      <w:pPr>
        <w:pStyle w:val="Tekstpodstawowywcity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9E5A772" w14:textId="77777777" w:rsidR="002D3385" w:rsidRPr="0095206B" w:rsidRDefault="002D338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10</w:t>
      </w:r>
    </w:p>
    <w:p w14:paraId="5A559F0C" w14:textId="77777777" w:rsidR="002D3385" w:rsidRPr="0095206B" w:rsidRDefault="002D3385" w:rsidP="002D3385">
      <w:pPr>
        <w:pStyle w:val="Teksttreci0"/>
        <w:shd w:val="clear" w:color="auto" w:fill="auto"/>
        <w:spacing w:after="14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95206B">
        <w:rPr>
          <w:rFonts w:asciiTheme="minorHAnsi" w:eastAsia="Cambria" w:hAnsiTheme="minorHAnsi" w:cstheme="minorHAnsi"/>
          <w:b/>
          <w:sz w:val="24"/>
          <w:szCs w:val="24"/>
        </w:rPr>
        <w:t>Wstrzymanie sprzedaży energii</w:t>
      </w:r>
    </w:p>
    <w:p w14:paraId="21C37903" w14:textId="77777777" w:rsidR="00A4140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może wstrzymać sprzedaż energii elektrycznej dla danego Punktu Poboru Energii, gdy </w:t>
      </w:r>
      <w:r w:rsidR="000C175F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iający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zamiarze wstrzymania sprzedaży energii elektrycznej.</w:t>
      </w:r>
    </w:p>
    <w:p w14:paraId="63061FE9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D0313D8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Wznowienie dostarczania energii elektrycznej i świadczenie usług dystrybucji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</w:p>
    <w:p w14:paraId="7A1D3C60" w14:textId="77777777" w:rsidR="002D338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1.</w:t>
      </w:r>
    </w:p>
    <w:p w14:paraId="4EA23944" w14:textId="77777777" w:rsidR="002D3385" w:rsidRPr="0095206B" w:rsidRDefault="002D338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07BD26D" w14:textId="77777777" w:rsidR="00A41405" w:rsidRPr="0095206B" w:rsidRDefault="00A4140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11</w:t>
      </w:r>
    </w:p>
    <w:p w14:paraId="69446893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006CCC76" w14:textId="77777777" w:rsidR="00A41405" w:rsidRPr="0095206B" w:rsidRDefault="00C72E35" w:rsidP="00931394">
      <w:pPr>
        <w:pStyle w:val="Teksttreci0"/>
        <w:shd w:val="clear" w:color="auto" w:fill="auto"/>
        <w:spacing w:after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68EC8469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A09D2A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377F3C" w:rsidRPr="0095206B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A41405" w:rsidRPr="0095206B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</w:p>
    <w:p w14:paraId="30BA4494" w14:textId="77777777" w:rsidR="00E44873" w:rsidRPr="0095206B" w:rsidRDefault="001A5B1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74E59FF4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prawa polskiego, w szczególności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ustawy Prawo zamówień publicznych, Kodeks Cywilny oraz Prawo energetyczne wraz z aktami wykonawczymi.</w:t>
      </w:r>
    </w:p>
    <w:p w14:paraId="28364AB4" w14:textId="77777777" w:rsidR="00A41405" w:rsidRPr="0095206B" w:rsidRDefault="00153185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Wykonawca w terminie 14 dni przygotuje i prześle Zamawiającemu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podpisany aneks do U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>mowy dzięki któremu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nastąpi zmniejszenie lub zwiększenie ilości obiektów wymienionych w Załączniku nr 1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do niniejszej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Umowy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nie stano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wi zmiany pozostałych warunków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95206B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ałączniku nr 1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CDC80E2" w14:textId="3229BFB5" w:rsidR="00532D50" w:rsidRPr="002E1649" w:rsidRDefault="00532D50" w:rsidP="007700E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4" w:name="_GoBack"/>
      <w:r w:rsidRPr="002E1649">
        <w:rPr>
          <w:rFonts w:asciiTheme="minorHAnsi" w:hAnsiTheme="minorHAnsi" w:cstheme="minorHAnsi"/>
          <w:sz w:val="24"/>
          <w:szCs w:val="24"/>
          <w:lang w:val="pl-PL"/>
        </w:rPr>
        <w:t>Czynności opisane w § 3 ust. 1 pkt. 4-7 Wykonawca wykona w terminie umożliwiającym rozpoczęcie sprzedaży od dnia 01.01.2024 r. po otrzymaniu wszelkich niezbędnych danych oraz dokumentów od Zamawiającego. W przypadku PPE, które po dniu 01.01.2024 r. zostaną aneksem wprowadzone do umowy sprzedaży energii elektrycznej (np. nowo powstałe PPE), czynności opisane w § 3 ust. 1 pkt 4 - 7 Wykonawca wykona w terminie 7 dni roboczych, licząc od daty podpisania niniejszego aneksu oraz otrzymania wszelkich niezbędnych danych oraz dokumentów od Zamawiającego. Zamawiający ponosi odpowiedzialność za terminowość i poprawność przekazanych danych, niezbędnych do przeprowadzenia procedury zmiany sprzedawcy.</w:t>
      </w:r>
    </w:p>
    <w:bookmarkEnd w:id="4"/>
    <w:p w14:paraId="3CFF42AE" w14:textId="77777777" w:rsidR="0052614A" w:rsidRPr="0095206B" w:rsidRDefault="00DE2444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</w:t>
      </w:r>
      <w:r w:rsidR="00EF4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oraz bieżącym poborem/fakturami za zużycie energii 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kierować będzie na adres Zamawiającego.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7ADCFF9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5210573A" w14:textId="77777777" w:rsidR="00DB7642" w:rsidRPr="0095206B" w:rsidRDefault="00DB7642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57EF28C1" w14:textId="77777777" w:rsidR="00F34AD2" w:rsidRPr="0095206B" w:rsidRDefault="00F34AD2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CFB6868" w14:textId="77777777" w:rsidR="00F34AD2" w:rsidRPr="0095206B" w:rsidRDefault="001B15A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0C175F" w:rsidRPr="0095206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14:paraId="23E10DAA" w14:textId="77777777" w:rsidR="00A41405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0BD5E8DC" w14:textId="77777777" w:rsidR="00CD53F1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Integralną częścią Umowy są następujące załączniki:</w:t>
      </w:r>
    </w:p>
    <w:p w14:paraId="2852F8F2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Załącznik nr 1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C542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Wykaz obiektów Zamawiającego objętych umową,</w:t>
      </w:r>
    </w:p>
    <w:p w14:paraId="12251829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2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mowy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Pełnomocnictwo</w:t>
      </w:r>
    </w:p>
    <w:p w14:paraId="341C91DF" w14:textId="77777777" w:rsidR="00E44873" w:rsidRPr="0095206B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14DB99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6395048" w14:textId="77777777" w:rsidR="00E44873" w:rsidRPr="002E2175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2E217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2E2175" w:rsidSect="001808E6"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A862" w14:textId="77777777" w:rsidR="00C86095" w:rsidRDefault="00C86095">
      <w:r>
        <w:separator/>
      </w:r>
    </w:p>
  </w:endnote>
  <w:endnote w:type="continuationSeparator" w:id="0">
    <w:p w14:paraId="633C58EA" w14:textId="77777777" w:rsidR="00C86095" w:rsidRDefault="00C8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9CE1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2E1649" w:rsidRPr="002E1649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18F746A5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125F" w14:textId="77777777" w:rsidR="00C86095" w:rsidRDefault="00C86095">
      <w:r>
        <w:separator/>
      </w:r>
    </w:p>
  </w:footnote>
  <w:footnote w:type="continuationSeparator" w:id="0">
    <w:p w14:paraId="2708EEC6" w14:textId="77777777" w:rsidR="00C86095" w:rsidRDefault="00C8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" w15:restartNumberingAfterBreak="0">
    <w:nsid w:val="0717382B"/>
    <w:multiLevelType w:val="hybridMultilevel"/>
    <w:tmpl w:val="62328644"/>
    <w:lvl w:ilvl="0" w:tplc="234A5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8" w15:restartNumberingAfterBreak="0">
    <w:nsid w:val="39901A41"/>
    <w:multiLevelType w:val="hybridMultilevel"/>
    <w:tmpl w:val="A7B0B328"/>
    <w:lvl w:ilvl="0" w:tplc="E6F6E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372D"/>
    <w:multiLevelType w:val="hybridMultilevel"/>
    <w:tmpl w:val="6BD2D64C"/>
    <w:lvl w:ilvl="0" w:tplc="4A203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3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4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6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8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4"/>
  </w:num>
  <w:num w:numId="15">
    <w:abstractNumId w:val="1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12F97"/>
    <w:rsid w:val="0002656B"/>
    <w:rsid w:val="00026CD4"/>
    <w:rsid w:val="000320DB"/>
    <w:rsid w:val="000333A8"/>
    <w:rsid w:val="000336EF"/>
    <w:rsid w:val="000366DE"/>
    <w:rsid w:val="0004221F"/>
    <w:rsid w:val="00043242"/>
    <w:rsid w:val="000464D8"/>
    <w:rsid w:val="000467E1"/>
    <w:rsid w:val="00050F33"/>
    <w:rsid w:val="00052A41"/>
    <w:rsid w:val="00055638"/>
    <w:rsid w:val="00056078"/>
    <w:rsid w:val="00060133"/>
    <w:rsid w:val="00070C67"/>
    <w:rsid w:val="00071909"/>
    <w:rsid w:val="00083726"/>
    <w:rsid w:val="0008652E"/>
    <w:rsid w:val="00087305"/>
    <w:rsid w:val="000931DC"/>
    <w:rsid w:val="000936CA"/>
    <w:rsid w:val="00094C36"/>
    <w:rsid w:val="00097182"/>
    <w:rsid w:val="00097EB8"/>
    <w:rsid w:val="000A2768"/>
    <w:rsid w:val="000A3DCD"/>
    <w:rsid w:val="000B0025"/>
    <w:rsid w:val="000B35C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0D5C"/>
    <w:rsid w:val="000D21BE"/>
    <w:rsid w:val="000D39BE"/>
    <w:rsid w:val="000D3FA0"/>
    <w:rsid w:val="000D7CE4"/>
    <w:rsid w:val="000E0FAC"/>
    <w:rsid w:val="000E3B33"/>
    <w:rsid w:val="000E7B35"/>
    <w:rsid w:val="000F4F9C"/>
    <w:rsid w:val="0010423F"/>
    <w:rsid w:val="00104EBB"/>
    <w:rsid w:val="0010566A"/>
    <w:rsid w:val="001058E0"/>
    <w:rsid w:val="00122EDB"/>
    <w:rsid w:val="0012371D"/>
    <w:rsid w:val="00123CA8"/>
    <w:rsid w:val="00124943"/>
    <w:rsid w:val="001359BC"/>
    <w:rsid w:val="00140B20"/>
    <w:rsid w:val="00142AF3"/>
    <w:rsid w:val="00143C91"/>
    <w:rsid w:val="0015102B"/>
    <w:rsid w:val="0015152A"/>
    <w:rsid w:val="00152442"/>
    <w:rsid w:val="00153185"/>
    <w:rsid w:val="00153AC9"/>
    <w:rsid w:val="001609CE"/>
    <w:rsid w:val="00162110"/>
    <w:rsid w:val="001638C4"/>
    <w:rsid w:val="00166585"/>
    <w:rsid w:val="00171C2E"/>
    <w:rsid w:val="001724BE"/>
    <w:rsid w:val="001764D4"/>
    <w:rsid w:val="001808E6"/>
    <w:rsid w:val="00181F4D"/>
    <w:rsid w:val="0018323F"/>
    <w:rsid w:val="001941F9"/>
    <w:rsid w:val="00197628"/>
    <w:rsid w:val="001A5B15"/>
    <w:rsid w:val="001B15A5"/>
    <w:rsid w:val="001B2549"/>
    <w:rsid w:val="001B44C3"/>
    <w:rsid w:val="001B4768"/>
    <w:rsid w:val="001B5CC2"/>
    <w:rsid w:val="001B7647"/>
    <w:rsid w:val="001C18FD"/>
    <w:rsid w:val="001C37CB"/>
    <w:rsid w:val="001C4145"/>
    <w:rsid w:val="001C682F"/>
    <w:rsid w:val="001D0EBD"/>
    <w:rsid w:val="001D3B84"/>
    <w:rsid w:val="001E1DFE"/>
    <w:rsid w:val="001E1F52"/>
    <w:rsid w:val="001E62E4"/>
    <w:rsid w:val="001E6A5D"/>
    <w:rsid w:val="001E7E7F"/>
    <w:rsid w:val="001F341B"/>
    <w:rsid w:val="001F413D"/>
    <w:rsid w:val="001F47BF"/>
    <w:rsid w:val="002025E8"/>
    <w:rsid w:val="002163EA"/>
    <w:rsid w:val="00216C17"/>
    <w:rsid w:val="0021732F"/>
    <w:rsid w:val="00235371"/>
    <w:rsid w:val="0023711A"/>
    <w:rsid w:val="002413CF"/>
    <w:rsid w:val="00242959"/>
    <w:rsid w:val="00243836"/>
    <w:rsid w:val="002471E6"/>
    <w:rsid w:val="0025481F"/>
    <w:rsid w:val="00261787"/>
    <w:rsid w:val="00263FF4"/>
    <w:rsid w:val="00267340"/>
    <w:rsid w:val="002724E5"/>
    <w:rsid w:val="002738F9"/>
    <w:rsid w:val="0027651D"/>
    <w:rsid w:val="0028045D"/>
    <w:rsid w:val="00280963"/>
    <w:rsid w:val="00280A47"/>
    <w:rsid w:val="00281004"/>
    <w:rsid w:val="00292B0E"/>
    <w:rsid w:val="00293465"/>
    <w:rsid w:val="00294C56"/>
    <w:rsid w:val="00296E4B"/>
    <w:rsid w:val="002A31CA"/>
    <w:rsid w:val="002A3BD4"/>
    <w:rsid w:val="002A5904"/>
    <w:rsid w:val="002B0FCA"/>
    <w:rsid w:val="002B1CB9"/>
    <w:rsid w:val="002B29C0"/>
    <w:rsid w:val="002B7788"/>
    <w:rsid w:val="002C1EDD"/>
    <w:rsid w:val="002C22CA"/>
    <w:rsid w:val="002C322F"/>
    <w:rsid w:val="002C5EC9"/>
    <w:rsid w:val="002C636C"/>
    <w:rsid w:val="002D02A9"/>
    <w:rsid w:val="002D3385"/>
    <w:rsid w:val="002D5B07"/>
    <w:rsid w:val="002D6BAD"/>
    <w:rsid w:val="002E1649"/>
    <w:rsid w:val="002E2175"/>
    <w:rsid w:val="002F2074"/>
    <w:rsid w:val="002F3BB4"/>
    <w:rsid w:val="003006FF"/>
    <w:rsid w:val="00303BF3"/>
    <w:rsid w:val="0030563B"/>
    <w:rsid w:val="0030590C"/>
    <w:rsid w:val="0031571B"/>
    <w:rsid w:val="003211E4"/>
    <w:rsid w:val="003227C0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6F6C"/>
    <w:rsid w:val="003574FA"/>
    <w:rsid w:val="00363767"/>
    <w:rsid w:val="0036379A"/>
    <w:rsid w:val="00363C95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01F"/>
    <w:rsid w:val="003C41E0"/>
    <w:rsid w:val="003C6167"/>
    <w:rsid w:val="003C745D"/>
    <w:rsid w:val="003D49A3"/>
    <w:rsid w:val="003D5317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402334"/>
    <w:rsid w:val="00404A1E"/>
    <w:rsid w:val="00406F8D"/>
    <w:rsid w:val="00417232"/>
    <w:rsid w:val="00420FD0"/>
    <w:rsid w:val="00422DD6"/>
    <w:rsid w:val="004240A4"/>
    <w:rsid w:val="00427ADD"/>
    <w:rsid w:val="00431120"/>
    <w:rsid w:val="00441424"/>
    <w:rsid w:val="00446F63"/>
    <w:rsid w:val="00451D85"/>
    <w:rsid w:val="0045300F"/>
    <w:rsid w:val="00454A5C"/>
    <w:rsid w:val="00455C70"/>
    <w:rsid w:val="00456516"/>
    <w:rsid w:val="004617A8"/>
    <w:rsid w:val="00465138"/>
    <w:rsid w:val="00466F0B"/>
    <w:rsid w:val="0048629D"/>
    <w:rsid w:val="004A1ED6"/>
    <w:rsid w:val="004A2868"/>
    <w:rsid w:val="004A4849"/>
    <w:rsid w:val="004A5D88"/>
    <w:rsid w:val="004C058F"/>
    <w:rsid w:val="004C40F3"/>
    <w:rsid w:val="004C4755"/>
    <w:rsid w:val="004C692C"/>
    <w:rsid w:val="004E0A8F"/>
    <w:rsid w:val="004E2429"/>
    <w:rsid w:val="004E3401"/>
    <w:rsid w:val="004E3840"/>
    <w:rsid w:val="004E5505"/>
    <w:rsid w:val="004F0061"/>
    <w:rsid w:val="004F30AD"/>
    <w:rsid w:val="004F5A0A"/>
    <w:rsid w:val="004F5BBB"/>
    <w:rsid w:val="0050255F"/>
    <w:rsid w:val="00502E85"/>
    <w:rsid w:val="005119A3"/>
    <w:rsid w:val="00512FD2"/>
    <w:rsid w:val="00514450"/>
    <w:rsid w:val="0051744F"/>
    <w:rsid w:val="00523B74"/>
    <w:rsid w:val="00524428"/>
    <w:rsid w:val="005257B3"/>
    <w:rsid w:val="0052614A"/>
    <w:rsid w:val="00527756"/>
    <w:rsid w:val="00532D50"/>
    <w:rsid w:val="0054599E"/>
    <w:rsid w:val="00546D19"/>
    <w:rsid w:val="00550F97"/>
    <w:rsid w:val="005533D2"/>
    <w:rsid w:val="005550C3"/>
    <w:rsid w:val="00563220"/>
    <w:rsid w:val="00564DF4"/>
    <w:rsid w:val="00567361"/>
    <w:rsid w:val="00573398"/>
    <w:rsid w:val="005733B0"/>
    <w:rsid w:val="00580446"/>
    <w:rsid w:val="005816D7"/>
    <w:rsid w:val="005827E8"/>
    <w:rsid w:val="00583940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20EA"/>
    <w:rsid w:val="005C6D38"/>
    <w:rsid w:val="005D0921"/>
    <w:rsid w:val="005D2104"/>
    <w:rsid w:val="005E12E7"/>
    <w:rsid w:val="005E2ED9"/>
    <w:rsid w:val="005E3220"/>
    <w:rsid w:val="005E32C5"/>
    <w:rsid w:val="005E4BC5"/>
    <w:rsid w:val="005E5623"/>
    <w:rsid w:val="005F7C5A"/>
    <w:rsid w:val="00601596"/>
    <w:rsid w:val="00601848"/>
    <w:rsid w:val="00614C95"/>
    <w:rsid w:val="00621FED"/>
    <w:rsid w:val="00630B77"/>
    <w:rsid w:val="00633D62"/>
    <w:rsid w:val="00633EF6"/>
    <w:rsid w:val="00634E74"/>
    <w:rsid w:val="006417C1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0894"/>
    <w:rsid w:val="006D1360"/>
    <w:rsid w:val="006D1A18"/>
    <w:rsid w:val="006D1E8D"/>
    <w:rsid w:val="006D3783"/>
    <w:rsid w:val="006D78E1"/>
    <w:rsid w:val="006E06D3"/>
    <w:rsid w:val="006F51B5"/>
    <w:rsid w:val="006F7905"/>
    <w:rsid w:val="00703348"/>
    <w:rsid w:val="00704069"/>
    <w:rsid w:val="0070490D"/>
    <w:rsid w:val="007052A9"/>
    <w:rsid w:val="0070620A"/>
    <w:rsid w:val="00706D06"/>
    <w:rsid w:val="00712908"/>
    <w:rsid w:val="007132FA"/>
    <w:rsid w:val="007135F4"/>
    <w:rsid w:val="00713CF6"/>
    <w:rsid w:val="0071510D"/>
    <w:rsid w:val="00731F6E"/>
    <w:rsid w:val="007415C4"/>
    <w:rsid w:val="00744038"/>
    <w:rsid w:val="00745C02"/>
    <w:rsid w:val="007478BD"/>
    <w:rsid w:val="00747F36"/>
    <w:rsid w:val="0075194B"/>
    <w:rsid w:val="007520DE"/>
    <w:rsid w:val="007538C8"/>
    <w:rsid w:val="007556FB"/>
    <w:rsid w:val="00761EAB"/>
    <w:rsid w:val="007623A9"/>
    <w:rsid w:val="00762688"/>
    <w:rsid w:val="00765AA5"/>
    <w:rsid w:val="00766079"/>
    <w:rsid w:val="00766264"/>
    <w:rsid w:val="007700E9"/>
    <w:rsid w:val="00772545"/>
    <w:rsid w:val="007741E9"/>
    <w:rsid w:val="00776CA1"/>
    <w:rsid w:val="00776D32"/>
    <w:rsid w:val="00777E67"/>
    <w:rsid w:val="00786429"/>
    <w:rsid w:val="0078766B"/>
    <w:rsid w:val="0079161F"/>
    <w:rsid w:val="007934D4"/>
    <w:rsid w:val="00794AEF"/>
    <w:rsid w:val="00795972"/>
    <w:rsid w:val="00797BCC"/>
    <w:rsid w:val="007A1AB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D646B"/>
    <w:rsid w:val="007D6FEF"/>
    <w:rsid w:val="007D703B"/>
    <w:rsid w:val="007E34D8"/>
    <w:rsid w:val="007F2AD2"/>
    <w:rsid w:val="007F518E"/>
    <w:rsid w:val="007F583E"/>
    <w:rsid w:val="00800261"/>
    <w:rsid w:val="0080072F"/>
    <w:rsid w:val="00801245"/>
    <w:rsid w:val="008064C0"/>
    <w:rsid w:val="008101D4"/>
    <w:rsid w:val="0081588E"/>
    <w:rsid w:val="008214FF"/>
    <w:rsid w:val="0082238F"/>
    <w:rsid w:val="00825B0D"/>
    <w:rsid w:val="0082601D"/>
    <w:rsid w:val="00830A6B"/>
    <w:rsid w:val="008337E6"/>
    <w:rsid w:val="00834E9D"/>
    <w:rsid w:val="008401CF"/>
    <w:rsid w:val="00845231"/>
    <w:rsid w:val="00850BB6"/>
    <w:rsid w:val="00853379"/>
    <w:rsid w:val="00853AE7"/>
    <w:rsid w:val="00854ECF"/>
    <w:rsid w:val="0086299B"/>
    <w:rsid w:val="008708AA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B07A9"/>
    <w:rsid w:val="008B6EE6"/>
    <w:rsid w:val="008C1925"/>
    <w:rsid w:val="008D0CE1"/>
    <w:rsid w:val="008D3AF3"/>
    <w:rsid w:val="008E0730"/>
    <w:rsid w:val="008E1039"/>
    <w:rsid w:val="008E16C8"/>
    <w:rsid w:val="008E176A"/>
    <w:rsid w:val="008E7D4C"/>
    <w:rsid w:val="008F1BDE"/>
    <w:rsid w:val="008F3644"/>
    <w:rsid w:val="0090753B"/>
    <w:rsid w:val="00911B3D"/>
    <w:rsid w:val="00913E8A"/>
    <w:rsid w:val="00915491"/>
    <w:rsid w:val="00916F73"/>
    <w:rsid w:val="00922208"/>
    <w:rsid w:val="00930837"/>
    <w:rsid w:val="00931394"/>
    <w:rsid w:val="00933752"/>
    <w:rsid w:val="00936421"/>
    <w:rsid w:val="00941D3E"/>
    <w:rsid w:val="00941E4C"/>
    <w:rsid w:val="00947B78"/>
    <w:rsid w:val="0095140F"/>
    <w:rsid w:val="0095206B"/>
    <w:rsid w:val="0095362E"/>
    <w:rsid w:val="00954E54"/>
    <w:rsid w:val="009561DA"/>
    <w:rsid w:val="00960246"/>
    <w:rsid w:val="00964F64"/>
    <w:rsid w:val="0097629C"/>
    <w:rsid w:val="0098432D"/>
    <w:rsid w:val="009951C8"/>
    <w:rsid w:val="00997B0E"/>
    <w:rsid w:val="009A1F15"/>
    <w:rsid w:val="009A7064"/>
    <w:rsid w:val="009B324A"/>
    <w:rsid w:val="009B3D27"/>
    <w:rsid w:val="009B55CC"/>
    <w:rsid w:val="009C4857"/>
    <w:rsid w:val="009C58ED"/>
    <w:rsid w:val="009D1320"/>
    <w:rsid w:val="009D198F"/>
    <w:rsid w:val="009D642F"/>
    <w:rsid w:val="009D7FE5"/>
    <w:rsid w:val="009E050B"/>
    <w:rsid w:val="009E29FF"/>
    <w:rsid w:val="009E308D"/>
    <w:rsid w:val="009E4666"/>
    <w:rsid w:val="009E6200"/>
    <w:rsid w:val="009F7750"/>
    <w:rsid w:val="00A05BB4"/>
    <w:rsid w:val="00A11B23"/>
    <w:rsid w:val="00A1587E"/>
    <w:rsid w:val="00A203A5"/>
    <w:rsid w:val="00A31E1D"/>
    <w:rsid w:val="00A3722A"/>
    <w:rsid w:val="00A4042B"/>
    <w:rsid w:val="00A41405"/>
    <w:rsid w:val="00A424FD"/>
    <w:rsid w:val="00A56A36"/>
    <w:rsid w:val="00A57131"/>
    <w:rsid w:val="00A62E45"/>
    <w:rsid w:val="00A64FC8"/>
    <w:rsid w:val="00A70EA7"/>
    <w:rsid w:val="00A74399"/>
    <w:rsid w:val="00A83941"/>
    <w:rsid w:val="00A8448A"/>
    <w:rsid w:val="00A86812"/>
    <w:rsid w:val="00A86A97"/>
    <w:rsid w:val="00A92109"/>
    <w:rsid w:val="00A92F38"/>
    <w:rsid w:val="00A97F05"/>
    <w:rsid w:val="00AA52FE"/>
    <w:rsid w:val="00AA74A1"/>
    <w:rsid w:val="00AA7F39"/>
    <w:rsid w:val="00AB009C"/>
    <w:rsid w:val="00AB2BC9"/>
    <w:rsid w:val="00AB56AD"/>
    <w:rsid w:val="00AB59F6"/>
    <w:rsid w:val="00AC16B3"/>
    <w:rsid w:val="00AC5218"/>
    <w:rsid w:val="00AC73F5"/>
    <w:rsid w:val="00AE192E"/>
    <w:rsid w:val="00AF097B"/>
    <w:rsid w:val="00AF2BA0"/>
    <w:rsid w:val="00AF7449"/>
    <w:rsid w:val="00AF76E5"/>
    <w:rsid w:val="00B02519"/>
    <w:rsid w:val="00B039C2"/>
    <w:rsid w:val="00B052C1"/>
    <w:rsid w:val="00B22832"/>
    <w:rsid w:val="00B2470C"/>
    <w:rsid w:val="00B303D2"/>
    <w:rsid w:val="00B31303"/>
    <w:rsid w:val="00B41A00"/>
    <w:rsid w:val="00B54EE1"/>
    <w:rsid w:val="00B60206"/>
    <w:rsid w:val="00B6213D"/>
    <w:rsid w:val="00B627E1"/>
    <w:rsid w:val="00B65A7E"/>
    <w:rsid w:val="00B6749F"/>
    <w:rsid w:val="00B728EE"/>
    <w:rsid w:val="00B80F53"/>
    <w:rsid w:val="00B8252E"/>
    <w:rsid w:val="00B86290"/>
    <w:rsid w:val="00B91867"/>
    <w:rsid w:val="00B940BC"/>
    <w:rsid w:val="00B94268"/>
    <w:rsid w:val="00B9566D"/>
    <w:rsid w:val="00B956EA"/>
    <w:rsid w:val="00BA20DE"/>
    <w:rsid w:val="00BA2B70"/>
    <w:rsid w:val="00BA4FFE"/>
    <w:rsid w:val="00BA7191"/>
    <w:rsid w:val="00BA7A76"/>
    <w:rsid w:val="00BB1DFA"/>
    <w:rsid w:val="00BC4445"/>
    <w:rsid w:val="00BC542A"/>
    <w:rsid w:val="00BD0C12"/>
    <w:rsid w:val="00BD5E3D"/>
    <w:rsid w:val="00BD63DE"/>
    <w:rsid w:val="00BF07B9"/>
    <w:rsid w:val="00BF1C24"/>
    <w:rsid w:val="00BF7D97"/>
    <w:rsid w:val="00C07E7C"/>
    <w:rsid w:val="00C1048C"/>
    <w:rsid w:val="00C12A61"/>
    <w:rsid w:val="00C1542C"/>
    <w:rsid w:val="00C2033A"/>
    <w:rsid w:val="00C20F4B"/>
    <w:rsid w:val="00C21427"/>
    <w:rsid w:val="00C2196F"/>
    <w:rsid w:val="00C279EE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609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43A0"/>
    <w:rsid w:val="00CB6998"/>
    <w:rsid w:val="00CB70BA"/>
    <w:rsid w:val="00CC0AFC"/>
    <w:rsid w:val="00CC2F25"/>
    <w:rsid w:val="00CC7579"/>
    <w:rsid w:val="00CC7D2C"/>
    <w:rsid w:val="00CD53F1"/>
    <w:rsid w:val="00CD6E1F"/>
    <w:rsid w:val="00CE16EF"/>
    <w:rsid w:val="00CE4ABD"/>
    <w:rsid w:val="00CF7561"/>
    <w:rsid w:val="00D00EAC"/>
    <w:rsid w:val="00D05D4E"/>
    <w:rsid w:val="00D12469"/>
    <w:rsid w:val="00D1345B"/>
    <w:rsid w:val="00D15529"/>
    <w:rsid w:val="00D16059"/>
    <w:rsid w:val="00D16627"/>
    <w:rsid w:val="00D3224A"/>
    <w:rsid w:val="00D462D3"/>
    <w:rsid w:val="00D46DCD"/>
    <w:rsid w:val="00D5265E"/>
    <w:rsid w:val="00D537FB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87F70"/>
    <w:rsid w:val="00D95A94"/>
    <w:rsid w:val="00D9696A"/>
    <w:rsid w:val="00D97B7F"/>
    <w:rsid w:val="00D97E9A"/>
    <w:rsid w:val="00DA1C73"/>
    <w:rsid w:val="00DA2002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6244"/>
    <w:rsid w:val="00E3783F"/>
    <w:rsid w:val="00E41EFD"/>
    <w:rsid w:val="00E44873"/>
    <w:rsid w:val="00E457BF"/>
    <w:rsid w:val="00E46F22"/>
    <w:rsid w:val="00E52C34"/>
    <w:rsid w:val="00E54BB2"/>
    <w:rsid w:val="00E56000"/>
    <w:rsid w:val="00E57949"/>
    <w:rsid w:val="00E64C8D"/>
    <w:rsid w:val="00E666F3"/>
    <w:rsid w:val="00E67A45"/>
    <w:rsid w:val="00E67AD9"/>
    <w:rsid w:val="00E709A4"/>
    <w:rsid w:val="00E751C5"/>
    <w:rsid w:val="00E8205B"/>
    <w:rsid w:val="00E82FFA"/>
    <w:rsid w:val="00E86980"/>
    <w:rsid w:val="00E86DE3"/>
    <w:rsid w:val="00E874DC"/>
    <w:rsid w:val="00E90F00"/>
    <w:rsid w:val="00EB1B13"/>
    <w:rsid w:val="00EB58F4"/>
    <w:rsid w:val="00EB70D1"/>
    <w:rsid w:val="00EC44F6"/>
    <w:rsid w:val="00ED0BCF"/>
    <w:rsid w:val="00ED1B60"/>
    <w:rsid w:val="00ED3D68"/>
    <w:rsid w:val="00ED4DBC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34A35"/>
    <w:rsid w:val="00F34AD2"/>
    <w:rsid w:val="00F36117"/>
    <w:rsid w:val="00F41048"/>
    <w:rsid w:val="00F52656"/>
    <w:rsid w:val="00F53FBB"/>
    <w:rsid w:val="00F56E68"/>
    <w:rsid w:val="00F57AEA"/>
    <w:rsid w:val="00F61487"/>
    <w:rsid w:val="00F62A76"/>
    <w:rsid w:val="00F7528C"/>
    <w:rsid w:val="00F7706F"/>
    <w:rsid w:val="00F827F2"/>
    <w:rsid w:val="00F827F3"/>
    <w:rsid w:val="00F842CD"/>
    <w:rsid w:val="00F850DA"/>
    <w:rsid w:val="00F95021"/>
    <w:rsid w:val="00F97C4B"/>
    <w:rsid w:val="00FA1823"/>
    <w:rsid w:val="00FA39C8"/>
    <w:rsid w:val="00FB09C8"/>
    <w:rsid w:val="00FB2C86"/>
    <w:rsid w:val="00FB40A7"/>
    <w:rsid w:val="00FB427C"/>
    <w:rsid w:val="00FD0E11"/>
    <w:rsid w:val="00FD1AA8"/>
    <w:rsid w:val="00FD1CA7"/>
    <w:rsid w:val="00FD24CA"/>
    <w:rsid w:val="00FD3D6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sierak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154</TotalTime>
  <Pages>16</Pages>
  <Words>4907</Words>
  <Characters>29447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</vt:lpstr>
      <vt:lpstr>Załącznik nr 11</vt:lpstr>
    </vt:vector>
  </TitlesOfParts>
  <Company>Energy Code</Company>
  <LinksUpToDate>false</LinksUpToDate>
  <CharactersWithSpaces>34286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Energy Code</dc:creator>
  <cp:keywords/>
  <cp:lastModifiedBy>mariuszs</cp:lastModifiedBy>
  <cp:revision>22</cp:revision>
  <cp:lastPrinted>1900-12-31T23:00:00Z</cp:lastPrinted>
  <dcterms:created xsi:type="dcterms:W3CDTF">2023-07-13T11:20:00Z</dcterms:created>
  <dcterms:modified xsi:type="dcterms:W3CDTF">2023-07-14T11:34:00Z</dcterms:modified>
</cp:coreProperties>
</file>