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047A6F6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0BCE">
        <w:rPr>
          <w:rFonts w:cs="Arial"/>
          <w:b/>
          <w:bCs/>
          <w:szCs w:val="24"/>
        </w:rPr>
        <w:t>11</w:t>
      </w:r>
      <w:r w:rsidR="009E374F">
        <w:rPr>
          <w:rFonts w:cs="Arial"/>
          <w:b/>
          <w:bCs/>
          <w:szCs w:val="24"/>
        </w:rPr>
        <w:t>/</w:t>
      </w:r>
      <w:r w:rsidR="00BE0BCE">
        <w:rPr>
          <w:rFonts w:cs="Arial"/>
          <w:b/>
          <w:bCs/>
          <w:szCs w:val="24"/>
        </w:rPr>
        <w:t>I</w:t>
      </w:r>
      <w:r w:rsidR="009E374F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CB953C6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DB6B25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1</w:t>
      </w:r>
      <w:r w:rsidR="00DB6B25">
        <w:rPr>
          <w:rFonts w:cs="Arial"/>
          <w:szCs w:val="24"/>
        </w:rPr>
        <w:t>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BE0BCE" w:rsidRPr="00BE0BCE">
        <w:rPr>
          <w:rFonts w:cs="Arial"/>
          <w:b/>
          <w:bCs/>
          <w:szCs w:val="24"/>
        </w:rPr>
        <w:t>Oświetlenie przejść dla pieszych w osiedlu Bieńczyce - kontynuacja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43216D3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7 ust. 1 od pkt 1 do pkt 3 ustawy o szczególnych rozwiązaniach w zakresie przeciwdziałania wspieraniu agresji na Ukrainę oraz służących ochronie bezpieczeństwa narodowego (Dz. U. z 2023 r., poz. </w:t>
      </w:r>
      <w:r w:rsidR="00DB6B25">
        <w:rPr>
          <w:rFonts w:cs="Arial"/>
          <w:szCs w:val="24"/>
        </w:rPr>
        <w:t>1497 ze zm.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9E374F"/>
    <w:rsid w:val="00A214EF"/>
    <w:rsid w:val="00A8032A"/>
    <w:rsid w:val="00BB734A"/>
    <w:rsid w:val="00BE0BCE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2024-02-13T12:55:00Z</dcterms:created>
  <dcterms:modified xsi:type="dcterms:W3CDTF">2024-02-13T12:55:00Z</dcterms:modified>
</cp:coreProperties>
</file>