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FFDA0" w14:textId="77777777" w:rsidR="0088451A" w:rsidRPr="0088451A" w:rsidRDefault="0088451A" w:rsidP="00DE3EB4">
      <w:pPr>
        <w:rPr>
          <w:rFonts w:ascii="Open Sans" w:hAnsi="Open Sans" w:cs="Open Sans"/>
          <w:b/>
          <w:bCs/>
          <w:sz w:val="20"/>
          <w:szCs w:val="20"/>
        </w:rPr>
      </w:pPr>
    </w:p>
    <w:p w14:paraId="73E59DB9" w14:textId="0C47C898" w:rsidR="0088451A" w:rsidRPr="0088451A" w:rsidRDefault="0088451A" w:rsidP="0088451A">
      <w:pPr>
        <w:ind w:left="6372" w:firstLine="708"/>
        <w:rPr>
          <w:rFonts w:ascii="Open Sans" w:hAnsi="Open Sans" w:cs="Open Sans"/>
          <w:b/>
          <w:bCs/>
          <w:sz w:val="20"/>
          <w:szCs w:val="20"/>
        </w:rPr>
      </w:pPr>
      <w:r w:rsidRPr="0088451A">
        <w:rPr>
          <w:rFonts w:ascii="Open Sans" w:hAnsi="Open Sans" w:cs="Open Sans"/>
          <w:b/>
          <w:bCs/>
          <w:sz w:val="20"/>
          <w:szCs w:val="20"/>
        </w:rPr>
        <w:t xml:space="preserve"> 1</w:t>
      </w:r>
      <w:r w:rsidR="00715722">
        <w:rPr>
          <w:rFonts w:ascii="Open Sans" w:hAnsi="Open Sans" w:cs="Open Sans"/>
          <w:b/>
          <w:bCs/>
          <w:sz w:val="20"/>
          <w:szCs w:val="20"/>
        </w:rPr>
        <w:t>6</w:t>
      </w:r>
      <w:r w:rsidRPr="0088451A">
        <w:rPr>
          <w:rFonts w:ascii="Open Sans" w:hAnsi="Open Sans" w:cs="Open Sans"/>
          <w:b/>
          <w:bCs/>
          <w:sz w:val="20"/>
          <w:szCs w:val="20"/>
        </w:rPr>
        <w:t>.04.2022r.</w:t>
      </w:r>
    </w:p>
    <w:p w14:paraId="64B35FC8" w14:textId="3AB2DD95" w:rsidR="0088451A" w:rsidRDefault="0088451A" w:rsidP="000923E4">
      <w:pPr>
        <w:jc w:val="right"/>
        <w:rPr>
          <w:rFonts w:ascii="Open Sans" w:hAnsi="Open Sans" w:cs="Open Sans"/>
          <w:b/>
          <w:bCs/>
          <w:sz w:val="20"/>
          <w:szCs w:val="20"/>
        </w:rPr>
      </w:pPr>
      <w:r w:rsidRPr="0088451A">
        <w:rPr>
          <w:rFonts w:ascii="Open Sans" w:hAnsi="Open Sans" w:cs="Open Sans"/>
          <w:b/>
          <w:bCs/>
          <w:sz w:val="20"/>
          <w:szCs w:val="20"/>
        </w:rPr>
        <w:t>Strona internetowa</w:t>
      </w:r>
    </w:p>
    <w:p w14:paraId="7AEB62F5" w14:textId="77777777" w:rsidR="000923E4" w:rsidRPr="0088451A" w:rsidRDefault="000923E4" w:rsidP="000923E4">
      <w:pPr>
        <w:jc w:val="right"/>
        <w:rPr>
          <w:rFonts w:ascii="Open Sans" w:hAnsi="Open Sans" w:cs="Open Sans"/>
          <w:b/>
          <w:bCs/>
          <w:sz w:val="20"/>
          <w:szCs w:val="20"/>
        </w:rPr>
      </w:pPr>
    </w:p>
    <w:p w14:paraId="62E52351" w14:textId="41328C22" w:rsidR="0088451A" w:rsidRDefault="0088451A" w:rsidP="0088451A">
      <w:pPr>
        <w:jc w:val="both"/>
        <w:rPr>
          <w:rFonts w:ascii="Open Sans" w:hAnsi="Open Sans" w:cs="Open Sans"/>
          <w:b/>
          <w:sz w:val="20"/>
          <w:szCs w:val="20"/>
          <w:lang w:eastAsia="pl-PL"/>
        </w:rPr>
      </w:pPr>
      <w:r w:rsidRPr="0088451A">
        <w:rPr>
          <w:rFonts w:ascii="Open Sans" w:hAnsi="Open Sans" w:cs="Open Sans"/>
          <w:b/>
          <w:bCs/>
          <w:sz w:val="20"/>
          <w:szCs w:val="20"/>
        </w:rPr>
        <w:t xml:space="preserve">Sprawa: </w:t>
      </w:r>
      <w:r w:rsidRPr="0088451A">
        <w:rPr>
          <w:rFonts w:ascii="Open Sans" w:hAnsi="Open Sans" w:cs="Open Sans"/>
          <w:bCs/>
          <w:sz w:val="20"/>
          <w:szCs w:val="20"/>
        </w:rPr>
        <w:t>wyjaśnienia i modyfikacja SWZ w postępowaniu dotyczącym</w:t>
      </w:r>
      <w:r w:rsidRPr="0088451A">
        <w:rPr>
          <w:rFonts w:ascii="Open Sans" w:hAnsi="Open Sans" w:cs="Open Sans"/>
          <w:b/>
          <w:bCs/>
          <w:sz w:val="20"/>
          <w:szCs w:val="20"/>
        </w:rPr>
        <w:t xml:space="preserve">  </w:t>
      </w:r>
      <w:r>
        <w:rPr>
          <w:rFonts w:ascii="Open Sans" w:hAnsi="Open Sans" w:cs="Open Sans"/>
          <w:b/>
          <w:bCs/>
          <w:sz w:val="20"/>
          <w:szCs w:val="20"/>
        </w:rPr>
        <w:t>„</w:t>
      </w:r>
      <w:r w:rsidRPr="0088451A">
        <w:rPr>
          <w:rFonts w:ascii="Open Sans" w:hAnsi="Open Sans" w:cs="Open Sans"/>
          <w:b/>
          <w:sz w:val="20"/>
          <w:szCs w:val="20"/>
          <w:lang w:eastAsia="pl-PL"/>
        </w:rPr>
        <w:t xml:space="preserve">Usługi ubezpieczenia </w:t>
      </w:r>
      <w:r w:rsidRPr="0088451A">
        <w:rPr>
          <w:rFonts w:ascii="Open Sans" w:hAnsi="Open Sans" w:cs="Open Sans"/>
          <w:b/>
          <w:sz w:val="20"/>
          <w:szCs w:val="20"/>
        </w:rPr>
        <w:t xml:space="preserve">Uniwersytetu Morskiego w Gdyni </w:t>
      </w:r>
      <w:r w:rsidRPr="0088451A">
        <w:rPr>
          <w:rFonts w:ascii="Open Sans" w:hAnsi="Open Sans" w:cs="Open Sans"/>
          <w:b/>
          <w:sz w:val="20"/>
          <w:szCs w:val="20"/>
          <w:lang w:eastAsia="pl-PL"/>
        </w:rPr>
        <w:t>– 2 części</w:t>
      </w:r>
      <w:r>
        <w:rPr>
          <w:rFonts w:ascii="Open Sans" w:hAnsi="Open Sans" w:cs="Open Sans"/>
          <w:b/>
          <w:sz w:val="20"/>
          <w:szCs w:val="20"/>
          <w:lang w:eastAsia="pl-PL"/>
        </w:rPr>
        <w:t>”.</w:t>
      </w:r>
    </w:p>
    <w:p w14:paraId="5F25F793" w14:textId="6F8B882C" w:rsidR="000923E4" w:rsidRPr="000923E4" w:rsidRDefault="000923E4" w:rsidP="0088451A">
      <w:pPr>
        <w:jc w:val="both"/>
        <w:rPr>
          <w:rFonts w:ascii="Open Sans" w:hAnsi="Open Sans" w:cs="Open Sans"/>
          <w:sz w:val="20"/>
          <w:szCs w:val="20"/>
          <w:lang w:eastAsia="pl-PL"/>
        </w:rPr>
      </w:pPr>
      <w:r w:rsidRPr="000923E4">
        <w:rPr>
          <w:rFonts w:ascii="Open Sans" w:hAnsi="Open Sans" w:cs="Open Sans"/>
          <w:sz w:val="20"/>
          <w:szCs w:val="20"/>
          <w:lang w:eastAsia="pl-PL"/>
        </w:rPr>
        <w:t>Poniższe należy uwzględnić przygotowując ofertę.</w:t>
      </w:r>
    </w:p>
    <w:p w14:paraId="3B874265" w14:textId="77777777" w:rsidR="00715722" w:rsidRPr="00715722" w:rsidRDefault="00715722" w:rsidP="00715722">
      <w:pPr>
        <w:spacing w:after="0" w:line="240" w:lineRule="auto"/>
        <w:jc w:val="both"/>
        <w:rPr>
          <w:rFonts w:ascii="Open Sans" w:hAnsi="Open Sans" w:cs="Open Sans"/>
          <w:sz w:val="20"/>
          <w:szCs w:val="20"/>
          <w:u w:val="single"/>
        </w:rPr>
      </w:pPr>
      <w:r w:rsidRPr="00715722">
        <w:rPr>
          <w:rFonts w:ascii="Open Sans" w:hAnsi="Open Sans" w:cs="Open Sans"/>
          <w:sz w:val="20"/>
          <w:szCs w:val="20"/>
          <w:u w:val="single"/>
        </w:rPr>
        <w:t>Element III. Ubezpieczenie następstw nieszczęśliwych wypadków;</w:t>
      </w:r>
    </w:p>
    <w:p w14:paraId="4F0AE9A4" w14:textId="77777777" w:rsidR="00715722" w:rsidRPr="00715722" w:rsidRDefault="00715722" w:rsidP="00715722">
      <w:pPr>
        <w:spacing w:after="0" w:line="240" w:lineRule="auto"/>
        <w:jc w:val="both"/>
        <w:rPr>
          <w:rFonts w:ascii="Open Sans" w:hAnsi="Open Sans" w:cs="Open Sans"/>
          <w:b/>
          <w:bCs/>
          <w:sz w:val="20"/>
          <w:szCs w:val="20"/>
        </w:rPr>
      </w:pPr>
    </w:p>
    <w:p w14:paraId="70B22752"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Pytanie 98</w:t>
      </w:r>
    </w:p>
    <w:p w14:paraId="7D9B6075" w14:textId="77777777" w:rsidR="00715722" w:rsidRPr="00715722" w:rsidRDefault="00715722" w:rsidP="00715722">
      <w:pPr>
        <w:spacing w:after="0" w:line="240" w:lineRule="auto"/>
        <w:jc w:val="both"/>
        <w:rPr>
          <w:rFonts w:ascii="Open Sans" w:eastAsiaTheme="majorEastAsia" w:hAnsi="Open Sans" w:cs="Open Sans"/>
          <w:sz w:val="20"/>
          <w:szCs w:val="20"/>
        </w:rPr>
      </w:pPr>
      <w:r w:rsidRPr="00715722">
        <w:rPr>
          <w:rFonts w:ascii="Open Sans" w:eastAsiaTheme="majorEastAsia" w:hAnsi="Open Sans" w:cs="Open Sans"/>
          <w:sz w:val="20"/>
          <w:szCs w:val="20"/>
        </w:rPr>
        <w:t xml:space="preserve">1.1. Przedmiot i zakres ubezpieczenia” </w:t>
      </w:r>
    </w:p>
    <w:p w14:paraId="4CD06974" w14:textId="77777777" w:rsidR="00715722" w:rsidRPr="00715722" w:rsidRDefault="00715722" w:rsidP="00715722">
      <w:pPr>
        <w:spacing w:after="0" w:line="240" w:lineRule="auto"/>
        <w:jc w:val="both"/>
        <w:rPr>
          <w:rFonts w:ascii="Open Sans" w:eastAsiaTheme="majorEastAsia" w:hAnsi="Open Sans" w:cs="Open Sans"/>
          <w:sz w:val="20"/>
          <w:szCs w:val="20"/>
        </w:rPr>
      </w:pPr>
      <w:r w:rsidRPr="00715722">
        <w:rPr>
          <w:rFonts w:ascii="Open Sans" w:eastAsiaTheme="majorEastAsia" w:hAnsi="Open Sans" w:cs="Open Sans"/>
          <w:sz w:val="20"/>
          <w:szCs w:val="20"/>
        </w:rPr>
        <w:t xml:space="preserve">Wnoszę o zmiany w zapisach SIWZ w punkcie dotyczącym limitów ASSISTANCE. </w:t>
      </w:r>
    </w:p>
    <w:p w14:paraId="726A7834" w14:textId="77777777" w:rsidR="00715722" w:rsidRPr="00715722" w:rsidRDefault="00715722" w:rsidP="00715722">
      <w:pPr>
        <w:spacing w:after="0" w:line="240" w:lineRule="auto"/>
        <w:jc w:val="both"/>
        <w:rPr>
          <w:rFonts w:ascii="Open Sans" w:eastAsiaTheme="majorEastAsia" w:hAnsi="Open Sans" w:cs="Open Sans"/>
          <w:sz w:val="20"/>
          <w:szCs w:val="20"/>
        </w:rPr>
      </w:pPr>
      <w:r w:rsidRPr="00715722">
        <w:rPr>
          <w:rFonts w:ascii="Open Sans" w:eastAsiaTheme="majorEastAsia" w:hAnsi="Open Sans" w:cs="Open Sans"/>
          <w:sz w:val="20"/>
          <w:szCs w:val="20"/>
        </w:rPr>
        <w:t xml:space="preserve">Wysokość świadczeń jest ; „ bez limitu”.  Wnosimy o przyjęcie limitów wynikających z OWU Wykonawcy, bądź o wskazanie konkretnych limitów przez zamawiającego.  </w:t>
      </w:r>
    </w:p>
    <w:p w14:paraId="799266C3"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Odpowiedź 98</w:t>
      </w:r>
    </w:p>
    <w:p w14:paraId="007D3B0F" w14:textId="77777777" w:rsidR="00715722" w:rsidRPr="00715722" w:rsidRDefault="00715722" w:rsidP="00715722">
      <w:pPr>
        <w:spacing w:after="0" w:line="240" w:lineRule="auto"/>
        <w:jc w:val="both"/>
        <w:rPr>
          <w:rFonts w:ascii="Open Sans" w:hAnsi="Open Sans" w:cs="Open Sans"/>
          <w:sz w:val="20"/>
          <w:szCs w:val="20"/>
          <w:u w:val="single"/>
        </w:rPr>
      </w:pPr>
      <w:r w:rsidRPr="00715722">
        <w:rPr>
          <w:rFonts w:ascii="Open Sans" w:hAnsi="Open Sans" w:cs="Open Sans"/>
          <w:sz w:val="20"/>
          <w:szCs w:val="20"/>
        </w:rPr>
        <w:t>Zamawiający wyjaśnia, że określenie „bez limitu” w punkcie dotyczącym limitów ASSISTANCE dotyczy braku limitu łącznego na usługi ASSISTANCE. Zamawiający dopuszcza limitowanie poszczególnych usług w ramach ASSISTANCE wnikających z OWU.</w:t>
      </w:r>
    </w:p>
    <w:p w14:paraId="5F4F576F" w14:textId="77777777" w:rsidR="00715722" w:rsidRPr="00715722" w:rsidRDefault="00715722" w:rsidP="00715722">
      <w:pPr>
        <w:spacing w:after="0" w:line="240" w:lineRule="auto"/>
        <w:jc w:val="both"/>
        <w:rPr>
          <w:rFonts w:ascii="Open Sans" w:hAnsi="Open Sans" w:cs="Open Sans"/>
          <w:sz w:val="20"/>
          <w:szCs w:val="20"/>
          <w:u w:val="single"/>
        </w:rPr>
      </w:pPr>
    </w:p>
    <w:p w14:paraId="01DA24E1" w14:textId="77777777" w:rsidR="00715722" w:rsidRPr="00715722" w:rsidRDefault="00715722" w:rsidP="00715722">
      <w:pPr>
        <w:spacing w:after="0" w:line="240" w:lineRule="auto"/>
        <w:jc w:val="both"/>
        <w:rPr>
          <w:rFonts w:ascii="Open Sans" w:hAnsi="Open Sans" w:cs="Open Sans"/>
          <w:sz w:val="20"/>
          <w:szCs w:val="20"/>
          <w:u w:val="single"/>
        </w:rPr>
      </w:pPr>
      <w:r w:rsidRPr="00715722">
        <w:rPr>
          <w:rFonts w:ascii="Open Sans" w:hAnsi="Open Sans" w:cs="Open Sans"/>
          <w:sz w:val="20"/>
          <w:szCs w:val="20"/>
          <w:u w:val="single"/>
        </w:rPr>
        <w:t xml:space="preserve">Element I. Ubezpieczenie mienia od wszystkich </w:t>
      </w:r>
      <w:proofErr w:type="spellStart"/>
      <w:r w:rsidRPr="00715722">
        <w:rPr>
          <w:rFonts w:ascii="Open Sans" w:hAnsi="Open Sans" w:cs="Open Sans"/>
          <w:sz w:val="20"/>
          <w:szCs w:val="20"/>
          <w:u w:val="single"/>
        </w:rPr>
        <w:t>ryzyk</w:t>
      </w:r>
      <w:proofErr w:type="spellEnd"/>
      <w:r w:rsidRPr="00715722">
        <w:rPr>
          <w:rFonts w:ascii="Open Sans" w:hAnsi="Open Sans" w:cs="Open Sans"/>
          <w:sz w:val="20"/>
          <w:szCs w:val="20"/>
          <w:u w:val="single"/>
        </w:rPr>
        <w:t xml:space="preserve">, w tym ubezpieczenie mienia od kradzieży z włamaniem i rabunku (limity na pierwsze ryzyko w ramach ubezpieczenia mienia od wszystkich </w:t>
      </w:r>
      <w:proofErr w:type="spellStart"/>
      <w:r w:rsidRPr="00715722">
        <w:rPr>
          <w:rFonts w:ascii="Open Sans" w:hAnsi="Open Sans" w:cs="Open Sans"/>
          <w:sz w:val="20"/>
          <w:szCs w:val="20"/>
          <w:u w:val="single"/>
        </w:rPr>
        <w:t>ryzyk</w:t>
      </w:r>
      <w:proofErr w:type="spellEnd"/>
      <w:r w:rsidRPr="00715722">
        <w:rPr>
          <w:rFonts w:ascii="Open Sans" w:hAnsi="Open Sans" w:cs="Open Sans"/>
          <w:sz w:val="20"/>
          <w:szCs w:val="20"/>
          <w:u w:val="single"/>
        </w:rPr>
        <w:t xml:space="preserve">) oraz ubezpieczenie przedmiotów od stłuczenia (limity na pierwsze ryzyko w ramach ubezpieczenia mienia od wszystkich </w:t>
      </w:r>
      <w:proofErr w:type="spellStart"/>
      <w:r w:rsidRPr="00715722">
        <w:rPr>
          <w:rFonts w:ascii="Open Sans" w:hAnsi="Open Sans" w:cs="Open Sans"/>
          <w:sz w:val="20"/>
          <w:szCs w:val="20"/>
          <w:u w:val="single"/>
        </w:rPr>
        <w:t>ryzyk</w:t>
      </w:r>
      <w:proofErr w:type="spellEnd"/>
      <w:r w:rsidRPr="00715722">
        <w:rPr>
          <w:rFonts w:ascii="Open Sans" w:hAnsi="Open Sans" w:cs="Open Sans"/>
          <w:sz w:val="20"/>
          <w:szCs w:val="20"/>
          <w:u w:val="single"/>
        </w:rPr>
        <w:t>).</w:t>
      </w:r>
    </w:p>
    <w:p w14:paraId="28C58BBB" w14:textId="77777777" w:rsidR="00715722" w:rsidRPr="00715722" w:rsidRDefault="00715722" w:rsidP="00715722">
      <w:pPr>
        <w:spacing w:after="0" w:line="240" w:lineRule="auto"/>
        <w:jc w:val="both"/>
        <w:rPr>
          <w:rFonts w:ascii="Open Sans" w:hAnsi="Open Sans" w:cs="Open Sans"/>
          <w:sz w:val="20"/>
          <w:szCs w:val="20"/>
          <w:u w:val="single"/>
        </w:rPr>
      </w:pPr>
      <w:r w:rsidRPr="00715722">
        <w:rPr>
          <w:rFonts w:ascii="Open Sans" w:hAnsi="Open Sans" w:cs="Open Sans"/>
          <w:sz w:val="20"/>
          <w:szCs w:val="20"/>
          <w:u w:val="single"/>
        </w:rPr>
        <w:t xml:space="preserve">Element II. Ubezpieczenie sprzętu elektronicznego od wszystkich </w:t>
      </w:r>
      <w:proofErr w:type="spellStart"/>
      <w:r w:rsidRPr="00715722">
        <w:rPr>
          <w:rFonts w:ascii="Open Sans" w:hAnsi="Open Sans" w:cs="Open Sans"/>
          <w:sz w:val="20"/>
          <w:szCs w:val="20"/>
          <w:u w:val="single"/>
        </w:rPr>
        <w:t>ryzyk</w:t>
      </w:r>
      <w:proofErr w:type="spellEnd"/>
      <w:r w:rsidRPr="00715722">
        <w:rPr>
          <w:rFonts w:ascii="Open Sans" w:hAnsi="Open Sans" w:cs="Open Sans"/>
          <w:sz w:val="20"/>
          <w:szCs w:val="20"/>
          <w:u w:val="single"/>
        </w:rPr>
        <w:t>;</w:t>
      </w:r>
    </w:p>
    <w:p w14:paraId="3D8E3D0F" w14:textId="77777777" w:rsidR="00715722" w:rsidRPr="00715722" w:rsidRDefault="00715722" w:rsidP="00715722">
      <w:pPr>
        <w:spacing w:after="0" w:line="240" w:lineRule="auto"/>
        <w:jc w:val="both"/>
        <w:rPr>
          <w:rFonts w:ascii="Open Sans" w:hAnsi="Open Sans" w:cs="Open Sans"/>
          <w:b/>
          <w:bCs/>
          <w:sz w:val="20"/>
          <w:szCs w:val="20"/>
        </w:rPr>
      </w:pPr>
    </w:p>
    <w:p w14:paraId="14C934CE"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Pytanie 99</w:t>
      </w:r>
    </w:p>
    <w:p w14:paraId="05FB79D6"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Wnioskujemy o włączenie poniższych klauzul:</w:t>
      </w:r>
    </w:p>
    <w:p w14:paraId="1B7DC6A9" w14:textId="77777777" w:rsidR="00715722" w:rsidRPr="00715722" w:rsidRDefault="00715722" w:rsidP="00715722">
      <w:pPr>
        <w:spacing w:after="0" w:line="240" w:lineRule="auto"/>
        <w:jc w:val="both"/>
        <w:rPr>
          <w:rFonts w:ascii="Open Sans" w:hAnsi="Open Sans" w:cs="Open Sans"/>
          <w:sz w:val="20"/>
          <w:szCs w:val="20"/>
        </w:rPr>
      </w:pPr>
    </w:p>
    <w:p w14:paraId="433AF28C"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 xml:space="preserve">Klauzula chorób zakaźnych- do ubezpieczenia mienia od wszystkich </w:t>
      </w:r>
      <w:proofErr w:type="spellStart"/>
      <w:r w:rsidRPr="00715722">
        <w:rPr>
          <w:rFonts w:ascii="Open Sans" w:hAnsi="Open Sans" w:cs="Open Sans"/>
          <w:b/>
          <w:bCs/>
          <w:sz w:val="20"/>
          <w:szCs w:val="20"/>
        </w:rPr>
        <w:t>ryzyk</w:t>
      </w:r>
      <w:proofErr w:type="spellEnd"/>
      <w:r w:rsidRPr="00715722">
        <w:rPr>
          <w:rFonts w:ascii="Open Sans" w:hAnsi="Open Sans" w:cs="Open Sans"/>
          <w:b/>
          <w:bCs/>
          <w:sz w:val="20"/>
          <w:szCs w:val="20"/>
        </w:rPr>
        <w:t xml:space="preserve"> (PD AR) </w:t>
      </w:r>
    </w:p>
    <w:p w14:paraId="4777C4B1"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1. Z pierwszeństwem wobec innych postanowień niniejszej umowy ubezpieczenia, w tym ogólnych warunków ubezpieczenia, niniejsze ubezpieczenie nie obejmuje strat, szkód, a także odpowiedzialności, roszczeń, kosztów i wydatków lub innych kwot, bezpośrednio lub pośrednio wynikających z, spowodowanych przez lub do których powstania przyczyniła się (również jako jedna z przyczyn) lub pozostających w związku z Chorobą Zakaźną, obawą przed nią lub zagrożeniem (rzeczywistym lub rzekomym) Chorobą Zakaźną, bez względu na jakąkolwiek inną przyczynę lub zdarzenie przyczyniające się jednocześnie lub w jakiejkolwiek innej kolejności. </w:t>
      </w:r>
    </w:p>
    <w:p w14:paraId="58C1A05A"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2. Na potrzeby niniejszej klauzuli za wyłączone z zakresu ubezpieczenia straty, szkody, </w:t>
      </w:r>
    </w:p>
    <w:p w14:paraId="173185AC"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odpowiedzialność, roszczenia, koszty, wydatki lub jakiekolwiek inne kwoty, o których mowa w ust. 1 powyżej uznaje się w szczególności wszelkie koszty oczyszczania, odkażenia, usunięcia, monitorowania, badań lub przeprowadzenia testów: </w:t>
      </w:r>
    </w:p>
    <w:p w14:paraId="61E1DD51"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2.1. w związku z Chorobą Zakaźną lub </w:t>
      </w:r>
    </w:p>
    <w:p w14:paraId="30F4515B"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2.2. wszelkiego mienia ubezpieczonego w ramach niniejszej umowy ubezpieczenia i na które wpływ miało wystąpienie Choroby Zakaźnej. </w:t>
      </w:r>
    </w:p>
    <w:p w14:paraId="27E1DD3D"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3. Użyte w niniejszej klauzuli pojęcie „Choroba Zakaźna” oznacza każdą chorobę, która może być przenoszona przez substancję lub czynnik z jakiegokolwiek organizmu na inny organizm, gdzie: </w:t>
      </w:r>
    </w:p>
    <w:p w14:paraId="1EF12416"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3.1. substancja lub czynnik obejmuje między innymi wirusa, bakterię, pasożyta lub inny organizm lub jakąkolwiek jego odmianę, uznawane za żywy lub martwy, oraz </w:t>
      </w:r>
    </w:p>
    <w:p w14:paraId="240218F1"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3.2. sposób rozprzestrzeniania się, bezpośrednio lub pośrednio, obejmuje między innymi rozprzestrzenianie się w powietrzu, drogą kropelkową, poprzez kontakt z jakąkolwiek powierzchnią lub przedmiotem, ciałem stałym, płynem lub gazem lub pomiędzy organizmami, oraz </w:t>
      </w:r>
    </w:p>
    <w:p w14:paraId="7F838AD2"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3.3. choroba, substancja lub czynnik mogą powodować lub stwarzać ryzyko uszczerbku na zdrowiu lub zagrozić ludzkiemu dobrostanowi lub powodować lub stwarzać ryzyko uszkodzenia, pogorszenia stanu, utraty wartości, zmniejszenia zbywalności lub utraty możliwości korzystania z mienia. </w:t>
      </w:r>
    </w:p>
    <w:p w14:paraId="7471A01C"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lastRenderedPageBreak/>
        <w:t>4. Niniejsza klauzula ma zastosowanie do całego zakresu ubezpieczenia, w tym w szczególności rozszerzeń i dodatkowych zakresów ochrony, a także wyjątków od jakiegokolwiek wyłączenia.</w:t>
      </w:r>
    </w:p>
    <w:p w14:paraId="46183BE5"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5. Wszystkie pozostałe warunki umowy ubezpieczenia nie ulegają zmianom. </w:t>
      </w:r>
    </w:p>
    <w:p w14:paraId="2ABEA56C" w14:textId="77777777" w:rsidR="00715722" w:rsidRPr="00715722" w:rsidRDefault="00715722" w:rsidP="00715722">
      <w:pPr>
        <w:spacing w:after="0" w:line="240" w:lineRule="auto"/>
        <w:jc w:val="both"/>
        <w:rPr>
          <w:rFonts w:ascii="Open Sans" w:hAnsi="Open Sans" w:cs="Open Sans"/>
          <w:b/>
          <w:bCs/>
          <w:sz w:val="20"/>
          <w:szCs w:val="20"/>
        </w:rPr>
      </w:pPr>
    </w:p>
    <w:p w14:paraId="6EDCE2EB"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 xml:space="preserve">KLAUZULA CYBER RISK/KLAUZULA IT - do ubezpieczenia EEI </w:t>
      </w:r>
    </w:p>
    <w:p w14:paraId="2AFA448A"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W ramach niniejszej umowy ubezpieczenia Ubezpieczyciel odpowiada za szkody rzeczowe, przez które rozumie się fizyczne szkody w mieniu objętym ubezpieczeniem. </w:t>
      </w:r>
    </w:p>
    <w:p w14:paraId="5E241CA6"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W tym znaczeniu za szkodę rzeczową nie uważa się fizycznego uszkodzenia i/lub zniszczenia danych lub oprogramowania, a w szczególności jakichkolwiek niekorzystnych w nich zmian spowodowanych przez skasowanie, uszkodzenie lub zmiany ich pierwotnej formy. </w:t>
      </w:r>
    </w:p>
    <w:p w14:paraId="2A6C0730"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Z ochrony ubezpieczeniowej wyłączone są: </w:t>
      </w:r>
    </w:p>
    <w:p w14:paraId="0D5C9215"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1. szkody w danych i oprogramowaniu powstałe wskutek ich utraty lub uszkodzenia, w szczególności wszelkie niekorzystne w nich zmiany spowodowane przez skasowanie, uszkodzenie lub zmiany ich pierwotnej formy, a także powstałe w ich następstwie szkody związane z utrata zysku oraz wszelkie straty wynikające z przerwy lub zakłóceń w działalności, </w:t>
      </w:r>
    </w:p>
    <w:p w14:paraId="335CFAB5"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2. szkody w danych lub oprogramowaniu będące następstwem ograniczenia zakresu funkcjonalności, użytkowania lub dostępności do nich, a także powstałe w ich następstwie szkody związane z utratą zysku oraz wszelkie straty wynikające z przerwy lub zakłóceń w działalności.</w:t>
      </w:r>
    </w:p>
    <w:p w14:paraId="110ACBBF" w14:textId="77777777" w:rsidR="00715722" w:rsidRPr="00715722" w:rsidRDefault="00715722" w:rsidP="00715722">
      <w:pPr>
        <w:spacing w:after="0" w:line="240" w:lineRule="auto"/>
        <w:jc w:val="both"/>
        <w:rPr>
          <w:rFonts w:ascii="Open Sans" w:hAnsi="Open Sans" w:cs="Open Sans"/>
          <w:b/>
          <w:bCs/>
          <w:sz w:val="20"/>
          <w:szCs w:val="20"/>
        </w:rPr>
      </w:pPr>
    </w:p>
    <w:p w14:paraId="663717A1"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 xml:space="preserve">Klauzula 120 – Ubezpieczenie nośników obrazu w urządzeniach fotokopiujących- do ubezpieczenia EEI </w:t>
      </w:r>
    </w:p>
    <w:p w14:paraId="6A9272FF"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Z zachowaniem ogólnych warunków ubezpieczenia i innych postanowień lub załączników do umowy ubezpieczenia na podstawie niniejszej klauzuli uzgodniono, że: </w:t>
      </w:r>
    </w:p>
    <w:p w14:paraId="0F5295FA"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1. Ubezpieczyciel wypłaci Ubezpieczającemu odszkodowanie za szkody powstałe w pośrednich nośnikach obrazu (bębnach selenowych) w urządzeniach fotokopiujących. </w:t>
      </w:r>
    </w:p>
    <w:p w14:paraId="6E505C87"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2. W przypadku szkody spowodowanej przez ogień lub kradzież z włamaniem odszkodowanie będzie wypłacone na podstawie wartości nowego zamiennika. </w:t>
      </w:r>
    </w:p>
    <w:p w14:paraId="1BFA968A"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3. Odszkodowanie za szkody powstałe w wyniku innych zdarzeń będzie proporcjonalne do ilości kopii już wykonanych (stan zużycia).</w:t>
      </w:r>
      <w:bookmarkStart w:id="0" w:name="_GoBack"/>
      <w:bookmarkEnd w:id="0"/>
    </w:p>
    <w:p w14:paraId="776DEA65" w14:textId="77777777" w:rsidR="00715722" w:rsidRPr="00715722" w:rsidRDefault="00715722" w:rsidP="00715722">
      <w:pPr>
        <w:spacing w:after="0" w:line="240" w:lineRule="auto"/>
        <w:jc w:val="both"/>
        <w:rPr>
          <w:rFonts w:ascii="Open Sans" w:hAnsi="Open Sans" w:cs="Open Sans"/>
          <w:b/>
          <w:bCs/>
          <w:sz w:val="20"/>
          <w:szCs w:val="20"/>
        </w:rPr>
      </w:pPr>
    </w:p>
    <w:p w14:paraId="4EC622B8"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 xml:space="preserve">Klauzula 102 – Rozszerzenie zakresu terytorialnego- do ubezpieczenia EEI </w:t>
      </w:r>
    </w:p>
    <w:p w14:paraId="222EDAC4"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Z zachowaniem ogólnych warunków ubezpieczenia i innych postanowień lub załączników do umowy ubezpieczenia uzgodniono, że na podstawie niniejszej klauzuli zakres terytorialny obowiązywania ubezpieczenia sprzętu przenośnego zostaje rozszerzony na kraje wymienione w umowie ubezpieczenia. </w:t>
      </w:r>
    </w:p>
    <w:p w14:paraId="7A8B5695"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Franszyza redukcyjna w wysokości 20% wartości szkody, jednak nie mniejsza niż ustalona w umowie ubezpieczenia (polisie) kwota franszyzy redukcyjnej.</w:t>
      </w:r>
    </w:p>
    <w:p w14:paraId="4E8599F9"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b/>
          <w:bCs/>
          <w:sz w:val="20"/>
          <w:szCs w:val="20"/>
        </w:rPr>
        <w:t>Odpowiedź 99</w:t>
      </w:r>
    </w:p>
    <w:p w14:paraId="7670CB6E"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 xml:space="preserve">Klauzula chorób zakaźnych- do ubezpieczenia mienia od wszystkich </w:t>
      </w:r>
      <w:proofErr w:type="spellStart"/>
      <w:r w:rsidRPr="00715722">
        <w:rPr>
          <w:rFonts w:ascii="Open Sans" w:hAnsi="Open Sans" w:cs="Open Sans"/>
          <w:sz w:val="20"/>
          <w:szCs w:val="20"/>
        </w:rPr>
        <w:t>ryzyk</w:t>
      </w:r>
      <w:proofErr w:type="spellEnd"/>
      <w:r w:rsidRPr="00715722">
        <w:rPr>
          <w:rFonts w:ascii="Open Sans" w:hAnsi="Open Sans" w:cs="Open Sans"/>
          <w:sz w:val="20"/>
          <w:szCs w:val="20"/>
        </w:rPr>
        <w:t xml:space="preserve"> (PD AR) – Zamawiający nie wyraża zgody. Jednocześnie Zamawiający rozszerza katalog </w:t>
      </w:r>
      <w:proofErr w:type="spellStart"/>
      <w:r w:rsidRPr="00715722">
        <w:rPr>
          <w:rFonts w:ascii="Open Sans" w:hAnsi="Open Sans" w:cs="Open Sans"/>
          <w:sz w:val="20"/>
          <w:szCs w:val="20"/>
        </w:rPr>
        <w:t>wyłączeń</w:t>
      </w:r>
      <w:proofErr w:type="spellEnd"/>
      <w:r w:rsidRPr="00715722">
        <w:rPr>
          <w:rFonts w:ascii="Open Sans" w:hAnsi="Open Sans" w:cs="Open Sans"/>
          <w:sz w:val="20"/>
          <w:szCs w:val="20"/>
        </w:rPr>
        <w:t xml:space="preserve"> wskazany w punkcie 5.3.s o COVID-19.</w:t>
      </w:r>
    </w:p>
    <w:p w14:paraId="60394354"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KLAUZULA CYBER RISK/KLAUZULA IT - do ubezpieczenia EEI - Zamawiający nie wyraża zgody.</w:t>
      </w:r>
    </w:p>
    <w:p w14:paraId="0FD8DDD6" w14:textId="77777777" w:rsidR="00715722" w:rsidRPr="00715722" w:rsidRDefault="00715722" w:rsidP="00715722">
      <w:pPr>
        <w:spacing w:after="0" w:line="240" w:lineRule="auto"/>
        <w:jc w:val="both"/>
        <w:rPr>
          <w:rFonts w:ascii="Open Sans" w:hAnsi="Open Sans" w:cs="Open Sans"/>
          <w:sz w:val="20"/>
          <w:szCs w:val="20"/>
        </w:rPr>
      </w:pPr>
      <w:r w:rsidRPr="00715722">
        <w:rPr>
          <w:rFonts w:ascii="Open Sans" w:hAnsi="Open Sans" w:cs="Open Sans"/>
          <w:sz w:val="20"/>
          <w:szCs w:val="20"/>
        </w:rPr>
        <w:t>Klauzula 120 – Ubezpieczenie nośników obrazu w urządzeniach fotokopiujących- do ubezpieczenia EEI – Zamawiający wyraża zgodę i modyfikuje OPZ w tym zakresie.</w:t>
      </w:r>
    </w:p>
    <w:p w14:paraId="0DC318F0" w14:textId="77777777" w:rsidR="00715722" w:rsidRPr="00715722" w:rsidRDefault="00715722" w:rsidP="00715722">
      <w:pPr>
        <w:spacing w:after="0" w:line="240" w:lineRule="auto"/>
        <w:jc w:val="both"/>
        <w:rPr>
          <w:rFonts w:ascii="Open Sans" w:hAnsi="Open Sans" w:cs="Open Sans"/>
          <w:b/>
          <w:bCs/>
          <w:sz w:val="20"/>
          <w:szCs w:val="20"/>
        </w:rPr>
      </w:pPr>
      <w:r w:rsidRPr="00715722">
        <w:rPr>
          <w:rFonts w:ascii="Open Sans" w:hAnsi="Open Sans" w:cs="Open Sans"/>
          <w:sz w:val="20"/>
          <w:szCs w:val="20"/>
        </w:rPr>
        <w:t>Klauzula 102 – Rozszerzenie zakresu terytorialnego- do ubezpieczenia EEI  - Zamawiający nie wyraża zgody.</w:t>
      </w:r>
    </w:p>
    <w:p w14:paraId="10A05986" w14:textId="77777777" w:rsidR="00715722" w:rsidRPr="00715722" w:rsidRDefault="00715722" w:rsidP="00715722">
      <w:pPr>
        <w:spacing w:after="0" w:line="240" w:lineRule="auto"/>
        <w:jc w:val="both"/>
        <w:rPr>
          <w:rFonts w:ascii="Open Sans" w:hAnsi="Open Sans" w:cs="Open Sans"/>
          <w:sz w:val="20"/>
          <w:szCs w:val="20"/>
        </w:rPr>
      </w:pPr>
    </w:p>
    <w:p w14:paraId="77AFC50E" w14:textId="38E71BCD" w:rsidR="003B3EB0" w:rsidRPr="00715722" w:rsidRDefault="003B3EB0" w:rsidP="00715722">
      <w:pPr>
        <w:spacing w:after="0" w:line="240" w:lineRule="auto"/>
        <w:jc w:val="both"/>
        <w:rPr>
          <w:rFonts w:ascii="Open Sans" w:hAnsi="Open Sans" w:cs="Open Sans"/>
          <w:sz w:val="20"/>
          <w:szCs w:val="20"/>
        </w:rPr>
      </w:pPr>
    </w:p>
    <w:sectPr w:rsidR="003B3EB0" w:rsidRPr="007157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091F" w14:textId="77777777" w:rsidR="00EC4887" w:rsidRDefault="00EC4887" w:rsidP="0088451A">
      <w:pPr>
        <w:spacing w:after="0" w:line="240" w:lineRule="auto"/>
      </w:pPr>
      <w:r>
        <w:separator/>
      </w:r>
    </w:p>
  </w:endnote>
  <w:endnote w:type="continuationSeparator" w:id="0">
    <w:p w14:paraId="22186FD5" w14:textId="77777777" w:rsidR="00EC4887" w:rsidRDefault="00EC4887" w:rsidP="0088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ahoma"/>
    <w:charset w:val="EE"/>
    <w:family w:val="swiss"/>
    <w:pitch w:val="variable"/>
    <w:sig w:usb0="00000001" w:usb1="4000205B" w:usb2="00000028" w:usb3="00000000" w:csb0="0000019F" w:csb1="00000000"/>
  </w:font>
  <w:font w:name="Ubuntu Medium">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0B3B" w14:textId="77777777" w:rsidR="0088451A" w:rsidRPr="004275C3" w:rsidRDefault="0088451A" w:rsidP="0088451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0FB8D547" w14:textId="77777777" w:rsidR="0088451A" w:rsidRDefault="008845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329B3" w14:textId="77777777" w:rsidR="00EC4887" w:rsidRDefault="00EC4887" w:rsidP="0088451A">
      <w:pPr>
        <w:spacing w:after="0" w:line="240" w:lineRule="auto"/>
      </w:pPr>
      <w:r>
        <w:separator/>
      </w:r>
    </w:p>
  </w:footnote>
  <w:footnote w:type="continuationSeparator" w:id="0">
    <w:p w14:paraId="7AC62AF2" w14:textId="77777777" w:rsidR="00EC4887" w:rsidRDefault="00EC4887" w:rsidP="0088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9A84" w14:textId="0CB1A620" w:rsidR="0088451A" w:rsidRDefault="0088451A">
    <w:pPr>
      <w:pStyle w:val="Nagwek"/>
    </w:pPr>
    <w:r>
      <w:rPr>
        <w:noProof/>
        <w:lang w:eastAsia="pl-PL"/>
      </w:rPr>
      <w:drawing>
        <wp:anchor distT="0" distB="0" distL="114300" distR="114300" simplePos="0" relativeHeight="251659264" behindDoc="1" locked="0" layoutInCell="1" allowOverlap="1" wp14:anchorId="163EC889" wp14:editId="019FEF01">
          <wp:simplePos x="0" y="0"/>
          <wp:positionH relativeFrom="page">
            <wp:posOffset>899795</wp:posOffset>
          </wp:positionH>
          <wp:positionV relativeFrom="paragraph">
            <wp:posOffset>-635</wp:posOffset>
          </wp:positionV>
          <wp:extent cx="1156330" cy="531495"/>
          <wp:effectExtent l="0" t="0" r="635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Obraz 205"/>
                  <pic:cNvPicPr/>
                </pic:nvPicPr>
                <pic:blipFill>
                  <a:blip r:embed="rId1">
                    <a:extLst>
                      <a:ext uri="{28A0092B-C50C-407E-A947-70E740481C1C}">
                        <a14:useLocalDpi xmlns:a14="http://schemas.microsoft.com/office/drawing/2010/main" val="0"/>
                      </a:ext>
                    </a:extLst>
                  </a:blip>
                  <a:stretch>
                    <a:fillRect/>
                  </a:stretch>
                </pic:blipFill>
                <pic:spPr>
                  <a:xfrm>
                    <a:off x="0" y="0"/>
                    <a:ext cx="1156330" cy="53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7A9"/>
    <w:multiLevelType w:val="hybridMultilevel"/>
    <w:tmpl w:val="9574F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25D0D"/>
    <w:multiLevelType w:val="hybridMultilevel"/>
    <w:tmpl w:val="A7D888E0"/>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 w15:restartNumberingAfterBreak="0">
    <w:nsid w:val="1B165BF7"/>
    <w:multiLevelType w:val="hybridMultilevel"/>
    <w:tmpl w:val="E7425D9A"/>
    <w:lvl w:ilvl="0" w:tplc="FFFFFFFF">
      <w:start w:val="21"/>
      <w:numFmt w:val="lowerLetter"/>
      <w:lvlText w:val="%1."/>
      <w:lvlJc w:val="left"/>
      <w:pPr>
        <w:ind w:left="213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EE1634"/>
    <w:multiLevelType w:val="hybridMultilevel"/>
    <w:tmpl w:val="CAC229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847EFC">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F78B9"/>
    <w:multiLevelType w:val="hybridMultilevel"/>
    <w:tmpl w:val="9574F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434DB8"/>
    <w:multiLevelType w:val="hybridMultilevel"/>
    <w:tmpl w:val="A7D888E0"/>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594C0BC0"/>
    <w:multiLevelType w:val="hybridMultilevel"/>
    <w:tmpl w:val="E7425D9A"/>
    <w:lvl w:ilvl="0" w:tplc="294A6C28">
      <w:start w:val="21"/>
      <w:numFmt w:val="lowerLetter"/>
      <w:lvlText w:val="%1."/>
      <w:lvlJc w:val="left"/>
      <w:pPr>
        <w:ind w:left="213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B4"/>
    <w:rsid w:val="000923E4"/>
    <w:rsid w:val="00263504"/>
    <w:rsid w:val="002E0802"/>
    <w:rsid w:val="00312639"/>
    <w:rsid w:val="00367291"/>
    <w:rsid w:val="00390F19"/>
    <w:rsid w:val="003B3EB0"/>
    <w:rsid w:val="003F3DD5"/>
    <w:rsid w:val="00411640"/>
    <w:rsid w:val="00477B0D"/>
    <w:rsid w:val="004A4E3A"/>
    <w:rsid w:val="005C2986"/>
    <w:rsid w:val="005D5E82"/>
    <w:rsid w:val="00642ACE"/>
    <w:rsid w:val="00706E91"/>
    <w:rsid w:val="00715722"/>
    <w:rsid w:val="007A1E3D"/>
    <w:rsid w:val="00836760"/>
    <w:rsid w:val="0088451A"/>
    <w:rsid w:val="009F72BA"/>
    <w:rsid w:val="00A0258A"/>
    <w:rsid w:val="00B142A4"/>
    <w:rsid w:val="00B9587D"/>
    <w:rsid w:val="00B96260"/>
    <w:rsid w:val="00BB3B65"/>
    <w:rsid w:val="00BE4670"/>
    <w:rsid w:val="00C23E6A"/>
    <w:rsid w:val="00CD3C73"/>
    <w:rsid w:val="00DE3EB4"/>
    <w:rsid w:val="00E630FE"/>
    <w:rsid w:val="00EC4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76B"/>
  <w15:chartTrackingRefBased/>
  <w15:docId w15:val="{8EFD72C1-DA26-45D4-9E67-8DC776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nhideWhenUsed/>
    <w:qFormat/>
    <w:rsid w:val="00411640"/>
    <w:pPr>
      <w:keepNext/>
      <w:widowControl w:val="0"/>
      <w:autoSpaceDE w:val="0"/>
      <w:autoSpaceDN w:val="0"/>
      <w:spacing w:before="240" w:after="60" w:line="240" w:lineRule="auto"/>
      <w:outlineLvl w:val="2"/>
    </w:pPr>
    <w:rPr>
      <w:rFonts w:ascii="Segoe UI" w:eastAsia="Times New Roman" w:hAnsi="Segoe UI" w:cs="Times New Roman"/>
      <w:b/>
      <w:bCs/>
      <w:color w:val="043E71"/>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A1E3D"/>
    <w:rPr>
      <w:sz w:val="16"/>
      <w:szCs w:val="16"/>
    </w:rPr>
  </w:style>
  <w:style w:type="paragraph" w:styleId="Tekstkomentarza">
    <w:name w:val="annotation text"/>
    <w:basedOn w:val="Normalny"/>
    <w:link w:val="TekstkomentarzaZnak"/>
    <w:uiPriority w:val="99"/>
    <w:semiHidden/>
    <w:unhideWhenUsed/>
    <w:rsid w:val="007A1E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3D"/>
    <w:rPr>
      <w:sz w:val="20"/>
      <w:szCs w:val="20"/>
    </w:rPr>
  </w:style>
  <w:style w:type="paragraph" w:styleId="Tematkomentarza">
    <w:name w:val="annotation subject"/>
    <w:basedOn w:val="Tekstkomentarza"/>
    <w:next w:val="Tekstkomentarza"/>
    <w:link w:val="TematkomentarzaZnak"/>
    <w:uiPriority w:val="99"/>
    <w:semiHidden/>
    <w:unhideWhenUsed/>
    <w:rsid w:val="007A1E3D"/>
    <w:rPr>
      <w:b/>
      <w:bCs/>
    </w:rPr>
  </w:style>
  <w:style w:type="character" w:customStyle="1" w:styleId="TematkomentarzaZnak">
    <w:name w:val="Temat komentarza Znak"/>
    <w:basedOn w:val="TekstkomentarzaZnak"/>
    <w:link w:val="Tematkomentarza"/>
    <w:uiPriority w:val="99"/>
    <w:semiHidden/>
    <w:rsid w:val="007A1E3D"/>
    <w:rPr>
      <w:b/>
      <w:bCs/>
      <w:sz w:val="20"/>
      <w:szCs w:val="20"/>
    </w:rPr>
  </w:style>
  <w:style w:type="character" w:customStyle="1" w:styleId="Nagwek3Znak">
    <w:name w:val="Nagłówek 3 Znak"/>
    <w:basedOn w:val="Domylnaczcionkaakapitu"/>
    <w:link w:val="Nagwek3"/>
    <w:rsid w:val="00411640"/>
    <w:rPr>
      <w:rFonts w:ascii="Segoe UI" w:eastAsia="Times New Roman" w:hAnsi="Segoe UI" w:cs="Times New Roman"/>
      <w:b/>
      <w:bCs/>
      <w:color w:val="043E71"/>
      <w:sz w:val="20"/>
      <w:szCs w:val="26"/>
      <w:lang w:eastAsia="pl-PL"/>
    </w:rPr>
  </w:style>
  <w:style w:type="paragraph" w:styleId="Tekstdymka">
    <w:name w:val="Balloon Text"/>
    <w:basedOn w:val="Normalny"/>
    <w:link w:val="TekstdymkaZnak"/>
    <w:uiPriority w:val="99"/>
    <w:semiHidden/>
    <w:unhideWhenUsed/>
    <w:rsid w:val="002E0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802"/>
    <w:rPr>
      <w:rFonts w:ascii="Segoe UI" w:hAnsi="Segoe UI" w:cs="Segoe UI"/>
      <w:sz w:val="18"/>
      <w:szCs w:val="18"/>
    </w:rPr>
  </w:style>
  <w:style w:type="paragraph" w:styleId="Akapitzlist">
    <w:name w:val="List Paragraph"/>
    <w:basedOn w:val="Normalny"/>
    <w:link w:val="AkapitzlistZnak"/>
    <w:uiPriority w:val="99"/>
    <w:qFormat/>
    <w:rsid w:val="00477B0D"/>
    <w:pPr>
      <w:spacing w:line="288" w:lineRule="auto"/>
      <w:ind w:left="720"/>
      <w:contextualSpacing/>
    </w:pPr>
    <w:rPr>
      <w:rFonts w:ascii="Segoe UI" w:hAnsi="Segoe UI"/>
      <w:sz w:val="20"/>
    </w:rPr>
  </w:style>
  <w:style w:type="character" w:customStyle="1" w:styleId="AkapitzlistZnak">
    <w:name w:val="Akapit z listą Znak"/>
    <w:link w:val="Akapitzlist"/>
    <w:uiPriority w:val="99"/>
    <w:qFormat/>
    <w:locked/>
    <w:rsid w:val="00477B0D"/>
    <w:rPr>
      <w:rFonts w:ascii="Segoe UI" w:hAnsi="Segoe UI"/>
      <w:sz w:val="20"/>
    </w:rPr>
  </w:style>
  <w:style w:type="paragraph" w:styleId="Nagwek">
    <w:name w:val="header"/>
    <w:basedOn w:val="Normalny"/>
    <w:link w:val="NagwekZnak"/>
    <w:uiPriority w:val="99"/>
    <w:unhideWhenUsed/>
    <w:rsid w:val="00884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51A"/>
  </w:style>
  <w:style w:type="paragraph" w:styleId="Stopka">
    <w:name w:val="footer"/>
    <w:basedOn w:val="Normalny"/>
    <w:link w:val="StopkaZnak"/>
    <w:uiPriority w:val="99"/>
    <w:unhideWhenUsed/>
    <w:rsid w:val="00884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0" ma:contentTypeDescription="Utwórz nowy dokument." ma:contentTypeScope="" ma:versionID="b31438466f25f38c6d8f722e822598da">
  <xsd:schema xmlns:xsd="http://www.w3.org/2001/XMLSchema" xmlns:xs="http://www.w3.org/2001/XMLSchema" xmlns:p="http://schemas.microsoft.com/office/2006/metadata/properties" xmlns:ns3="a64cd690-3f1b-4716-b487-50e67ae5dcbf" targetNamespace="http://schemas.microsoft.com/office/2006/metadata/properties" ma:root="true" ma:fieldsID="62fb95f2c7f1987b5e9052e64e928a79" ns3:_="">
    <xsd:import namespace="a64cd690-3f1b-4716-b487-50e67ae5d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1E26-DFF0-45D8-976C-70A54612014B}">
  <ds:schemaRefs>
    <ds:schemaRef ds:uri="http://schemas.microsoft.com/sharepoint/v3/contenttype/forms"/>
  </ds:schemaRefs>
</ds:datastoreItem>
</file>

<file path=customXml/itemProps2.xml><?xml version="1.0" encoding="utf-8"?>
<ds:datastoreItem xmlns:ds="http://schemas.openxmlformats.org/officeDocument/2006/customXml" ds:itemID="{2BCFF97C-5090-4446-B584-0F0B7D7DCE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F13B-6A74-46EF-8816-FEA18151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Ołubowicz</dc:creator>
  <cp:keywords/>
  <dc:description/>
  <cp:lastModifiedBy>Slawek</cp:lastModifiedBy>
  <cp:revision>9</cp:revision>
  <cp:lastPrinted>2022-04-12T06:29:00Z</cp:lastPrinted>
  <dcterms:created xsi:type="dcterms:W3CDTF">2022-04-13T05:43:00Z</dcterms:created>
  <dcterms:modified xsi:type="dcterms:W3CDTF">2022-04-16T18:30:00Z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