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9" w:rsidRPr="005D20B9" w:rsidRDefault="003C1167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1" allowOverlap="1" wp14:editId="01F2C56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B646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260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A03B5E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132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1B4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03B5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1B4C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0D703C">
        <w:rPr>
          <w:rFonts w:ascii="Times New Roman" w:eastAsia="Calibri" w:hAnsi="Times New Roman" w:cs="Times New Roman"/>
          <w:b/>
          <w:sz w:val="28"/>
          <w:szCs w:val="28"/>
        </w:rPr>
        <w:t>MATERIAŁÓW SZEWNYCH I PRODUKTÓW HEMOSTATYCZNYCH</w:t>
      </w:r>
    </w:p>
    <w:p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:rsidR="00851403" w:rsidRPr="001C6345" w:rsidRDefault="005D20B9" w:rsidP="001C634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:rsidR="00E7715E" w:rsidRDefault="00E7715E" w:rsidP="001C6345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:rsidR="001C6345" w:rsidRPr="001C6345" w:rsidRDefault="001C6345" w:rsidP="001C6345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:rsidTr="00204674">
        <w:tc>
          <w:tcPr>
            <w:tcW w:w="9779" w:type="dxa"/>
            <w:shd w:val="clear" w:color="auto" w:fill="DBE5F1" w:themeFill="accent1" w:themeFillTint="33"/>
          </w:tcPr>
          <w:p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:rsidTr="00204674">
        <w:tc>
          <w:tcPr>
            <w:tcW w:w="9781" w:type="dxa"/>
            <w:shd w:val="clear" w:color="auto" w:fill="DBE5F1" w:themeFill="accent1" w:themeFillTint="33"/>
          </w:tcPr>
          <w:p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:rsidR="009279B8" w:rsidRDefault="009279B8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:rsidR="009279B8" w:rsidRPr="009279B8" w:rsidRDefault="00E55A2C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Ustawa z dnia 6 kwietnia 2001 r. Prawo Farmaceu</w:t>
      </w:r>
      <w:r w:rsidR="007B2BB0">
        <w:rPr>
          <w:rFonts w:ascii="Times New Roman" w:hAnsi="Times New Roman"/>
        </w:rPr>
        <w:t>tyczne (Dz.U. z 2021 r., poz. 1477</w:t>
      </w:r>
      <w:r w:rsidRPr="009279B8">
        <w:rPr>
          <w:rFonts w:ascii="Times New Roman" w:hAnsi="Times New Roman"/>
        </w:rPr>
        <w:t xml:space="preserve"> ze zm.),</w:t>
      </w:r>
    </w:p>
    <w:p w:rsidR="00E55A2C" w:rsidRPr="009279B8" w:rsidRDefault="00E55A2C" w:rsidP="009279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Rozporządzenie Ministra Zdrowia z dnia 20 lutego 2009 r. w sprawie wymagań dotyczących oznakowania opakowań produktu leczniczego i treści ulotki (Dz.U. z 2020 r., poz.1847).</w:t>
      </w:r>
    </w:p>
    <w:p w:rsidR="00AF7E0B" w:rsidRPr="00B36E75" w:rsidRDefault="00B36E75" w:rsidP="00B36E7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6494C">
        <w:rPr>
          <w:rFonts w:ascii="Times New Roman" w:hAnsi="Times New Roman"/>
        </w:rPr>
        <w:t xml:space="preserve">Ustawa 07 kwietnia 2022r. o wyrobach medycznych </w:t>
      </w:r>
      <w:r w:rsidRPr="00F74D69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2022r. poz. 974),</w:t>
      </w:r>
    </w:p>
    <w:p w:rsidR="00AF7E0B" w:rsidRPr="001629EB" w:rsidRDefault="00AF7E0B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629EB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7B2BB0">
        <w:rPr>
          <w:rFonts w:ascii="Times New Roman" w:eastAsia="Arial" w:hAnsi="Times New Roman" w:cs="Times New Roman"/>
          <w:lang w:eastAsia="ar-SA"/>
        </w:rPr>
        <w:t xml:space="preserve"> – Kodeks cywilny (Dz. U. z 2022 r., poz. 1360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55A2C" w:rsidRDefault="008E053F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</w:t>
      </w:r>
      <w:r w:rsidRPr="002B41B5">
        <w:rPr>
          <w:rFonts w:ascii="Times New Roman" w:eastAsia="Calibri" w:hAnsi="Times New Roman" w:cs="Times New Roman"/>
          <w:b/>
          <w:bCs/>
          <w:i/>
          <w:iCs/>
        </w:rPr>
        <w:t>dostawa</w:t>
      </w:r>
      <w:r w:rsidRPr="002B41B5">
        <w:rPr>
          <w:rFonts w:ascii="Times New Roman" w:eastAsia="Calibri" w:hAnsi="Times New Roman" w:cs="Times New Roman"/>
          <w:b/>
          <w:bCs/>
        </w:rPr>
        <w:t xml:space="preserve"> </w:t>
      </w:r>
      <w:r w:rsidR="000D573E">
        <w:rPr>
          <w:rFonts w:ascii="Times New Roman" w:eastAsia="Calibri" w:hAnsi="Times New Roman" w:cs="Times New Roman"/>
          <w:b/>
          <w:bCs/>
          <w:i/>
        </w:rPr>
        <w:t xml:space="preserve">materiałów </w:t>
      </w:r>
      <w:proofErr w:type="spellStart"/>
      <w:r w:rsidR="000D573E">
        <w:rPr>
          <w:rFonts w:ascii="Times New Roman" w:eastAsia="Calibri" w:hAnsi="Times New Roman" w:cs="Times New Roman"/>
          <w:b/>
          <w:bCs/>
          <w:i/>
        </w:rPr>
        <w:t>szewnych</w:t>
      </w:r>
      <w:proofErr w:type="spellEnd"/>
      <w:r w:rsidR="000D573E">
        <w:rPr>
          <w:rFonts w:ascii="Times New Roman" w:eastAsia="Calibri" w:hAnsi="Times New Roman" w:cs="Times New Roman"/>
          <w:b/>
          <w:bCs/>
          <w:i/>
        </w:rPr>
        <w:t xml:space="preserve"> i produktów hemostatycznych</w:t>
      </w:r>
      <w:r w:rsidR="002B41B5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:rsidR="00EC7239" w:rsidRDefault="00E55A2C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0D573E">
        <w:rPr>
          <w:rFonts w:ascii="Times New Roman" w:hAnsi="Times New Roman"/>
        </w:rPr>
        <w:t>4</w:t>
      </w:r>
      <w:r w:rsidR="00CB306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:rsid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:rsidR="008A4E79" w:rsidRP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:rsidR="008E053F" w:rsidRPr="005D20B9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:rsidR="008E053F" w:rsidRPr="005B347F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:rsidR="008E053F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:rsidR="00F0442B" w:rsidRPr="00F0442B" w:rsidRDefault="00F0442B" w:rsidP="00847A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:rsidR="008E053F" w:rsidRPr="00747C43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:rsidR="008E053F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:rsidR="00AB4CDD" w:rsidRPr="005D20B9" w:rsidRDefault="00AB4CDD" w:rsidP="00AB4CDD">
      <w:p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Kod CPV: 33.14.11.21 – 4 – Szwy chirurgiczne</w:t>
      </w:r>
    </w:p>
    <w:p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Tr="009547AC">
        <w:tc>
          <w:tcPr>
            <w:tcW w:w="9671" w:type="dxa"/>
            <w:shd w:val="clear" w:color="auto" w:fill="DBE5F1" w:themeFill="accent1" w:themeFillTint="33"/>
          </w:tcPr>
          <w:p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AB4CDD">
        <w:rPr>
          <w:rFonts w:ascii="Times New Roman" w:eastAsia="Calibri" w:hAnsi="Times New Roman" w:cs="Times New Roman"/>
        </w:rPr>
        <w:t>4</w:t>
      </w:r>
      <w:r w:rsidR="00CB306C">
        <w:rPr>
          <w:rFonts w:ascii="Times New Roman" w:eastAsia="Calibri" w:hAnsi="Times New Roman" w:cs="Times New Roman"/>
        </w:rPr>
        <w:t>7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FF6D0E">
        <w:tc>
          <w:tcPr>
            <w:tcW w:w="9747" w:type="dxa"/>
            <w:shd w:val="clear" w:color="auto" w:fill="DBE5F1" w:themeFill="accent1" w:themeFillTint="33"/>
          </w:tcPr>
          <w:p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lastRenderedPageBreak/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:rsidTr="00EA5EBD">
        <w:tc>
          <w:tcPr>
            <w:tcW w:w="9889" w:type="dxa"/>
            <w:shd w:val="clear" w:color="auto" w:fill="DBE5F1" w:themeFill="accent1" w:themeFillTint="33"/>
          </w:tcPr>
          <w:p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:rsidR="00840919" w:rsidRPr="00467648" w:rsidRDefault="006F775D" w:rsidP="00467648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</w:t>
      </w:r>
      <w:r w:rsidR="00AF7E0B">
        <w:rPr>
          <w:rFonts w:ascii="Times New Roman" w:hAnsi="Times New Roman"/>
        </w:rPr>
        <w:t xml:space="preserve">iczymi przeznaczonymi dla ludzi – </w:t>
      </w:r>
      <w:r w:rsidR="00AF7E0B" w:rsidRPr="00AF7E0B">
        <w:rPr>
          <w:rFonts w:ascii="Times New Roman" w:hAnsi="Times New Roman"/>
          <w:b/>
          <w:u w:val="single"/>
        </w:rPr>
        <w:t>dotyczy</w:t>
      </w:r>
      <w:r w:rsidR="00AF7E0B" w:rsidRPr="00AF7E0B">
        <w:rPr>
          <w:rFonts w:ascii="Times New Roman" w:hAnsi="Times New Roman"/>
          <w:b/>
        </w:rPr>
        <w:t xml:space="preserve"> Pakietu nr </w:t>
      </w:r>
      <w:bookmarkStart w:id="20" w:name="_Hlk99625593"/>
      <w:r w:rsidR="00467648">
        <w:rPr>
          <w:rFonts w:ascii="Times New Roman" w:hAnsi="Times New Roman"/>
          <w:b/>
        </w:rPr>
        <w:t>33</w:t>
      </w:r>
      <w:r w:rsidR="001629EB">
        <w:rPr>
          <w:rFonts w:ascii="Times New Roman" w:hAnsi="Times New Roman"/>
          <w:b/>
        </w:rPr>
        <w:t xml:space="preserve">, </w:t>
      </w:r>
      <w:bookmarkEnd w:id="20"/>
      <w:r w:rsidR="00467648">
        <w:rPr>
          <w:rFonts w:ascii="Times New Roman" w:hAnsi="Times New Roman"/>
          <w:b/>
        </w:rPr>
        <w:t>34</w:t>
      </w:r>
    </w:p>
    <w:p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:rsidTr="009D20DE">
        <w:trPr>
          <w:trHeight w:val="1715"/>
        </w:trPr>
        <w:tc>
          <w:tcPr>
            <w:tcW w:w="9889" w:type="dxa"/>
            <w:shd w:val="clear" w:color="auto" w:fill="DBE5F1" w:themeFill="accent1" w:themeFillTint="33"/>
          </w:tcPr>
          <w:p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D20DE" w:rsidRPr="009D20DE" w:rsidRDefault="002939FE" w:rsidP="009D20DE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PODSTAWY WYKLUCZENIA, O KTÓRYCH MOWA W ART. 108 UST. 1 UPZP</w:t>
            </w:r>
            <w:r w:rsidR="009D20DE" w:rsidRPr="009D20D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</w:t>
            </w:r>
            <w:r w:rsid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USTAWY  Z DNIA 13 KWIETNIA 2022 O SZCZEGÓLNYCH ROZWIĄZANIACH W ZAKRESIE PRZECIWDZIAŁANIA WSPIERANIA AGRESJI NA UKRAINĘ ORAZ SŁUŻĄCYCH OCHRONIE BEZPIECZEŃSTWA NARODOWEGO –   OBLIGATORYJNE PRZESŁANKI</w:t>
            </w:r>
          </w:p>
          <w:p w:rsidR="002939FE" w:rsidRPr="002939FE" w:rsidRDefault="002939FE" w:rsidP="009D20DE">
            <w:pPr>
              <w:pStyle w:val="Akapitzlist"/>
              <w:keepNext/>
              <w:keepLines/>
              <w:suppressAutoHyphens/>
              <w:autoSpaceDN w:val="0"/>
              <w:ind w:left="60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</w:p>
          <w:p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:rsid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:rsidR="00101938" w:rsidRPr="00101938" w:rsidRDefault="00101938" w:rsidP="0010193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01938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lastRenderedPageBreak/>
        <w:t>o charakterze terrorystycznym, o którym mowa w art. 115 § 20 Kodeksu karnego, lub mające na celu popełnienie tego przestępstwa,</w:t>
      </w:r>
    </w:p>
    <w:p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:rsidR="000974B2" w:rsidRPr="009D20DE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:rsidR="009D20DE" w:rsidRPr="003A47EA" w:rsidRDefault="009D20DE" w:rsidP="009D20DE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E5ACB">
        <w:rPr>
          <w:rFonts w:ascii="Times New Roman" w:eastAsia="Times New Roman" w:hAnsi="Times New Roman" w:cs="Times New Roman"/>
          <w:color w:val="FF0000"/>
          <w:lang w:eastAsia="ar-SA"/>
        </w:rPr>
        <w:t>Z postępowania o udzielenie zamówienia publicznego lub konkursu prowadzonego na podstawie ustawy</w:t>
      </w:r>
      <w:r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3A47EA">
        <w:rPr>
          <w:rFonts w:ascii="Times New Roman" w:eastAsia="Times New Roman" w:hAnsi="Times New Roman" w:cs="Times New Roman"/>
          <w:color w:val="FF0000"/>
          <w:lang w:eastAsia="ar-SA"/>
        </w:rPr>
        <w:t>z dnia 11 września 2019 r. – Prawo zamówień publicznych wyklucza się:</w:t>
      </w:r>
    </w:p>
    <w:p w:rsidR="009D20DE" w:rsidRPr="005E5ACB" w:rsidRDefault="009D20DE" w:rsidP="009D20DE">
      <w:pPr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E5ACB">
        <w:rPr>
          <w:rFonts w:ascii="Times New Roman" w:eastAsia="Times New Roman" w:hAnsi="Times New Roman" w:cs="Times New Roman"/>
          <w:color w:val="FF0000"/>
          <w:lang w:eastAsia="ar-SA"/>
        </w:rPr>
        <w:lastRenderedPageBreak/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9D20DE" w:rsidRPr="005E5ACB" w:rsidRDefault="009D20DE" w:rsidP="009D20DE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E5ACB">
        <w:rPr>
          <w:rFonts w:ascii="Times New Roman" w:eastAsia="Times New Roman" w:hAnsi="Times New Roman" w:cs="Times New Roman"/>
          <w:color w:val="FF0000"/>
          <w:lang w:eastAsia="ar-SA"/>
        </w:rPr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9D20DE" w:rsidRPr="005E5ACB" w:rsidRDefault="009D20DE" w:rsidP="009D20DE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E5ACB">
        <w:rPr>
          <w:rFonts w:ascii="Times New Roman" w:eastAsia="Times New Roman" w:hAnsi="Times New Roman" w:cs="Times New Roman"/>
          <w:color w:val="FF0000"/>
          <w:lang w:eastAsia="ar-SA"/>
        </w:rPr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0974B2" w:rsidRPr="009D20DE" w:rsidRDefault="000974B2" w:rsidP="009D20D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0D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:rsidTr="00EA5EBD">
        <w:tc>
          <w:tcPr>
            <w:tcW w:w="9889" w:type="dxa"/>
            <w:shd w:val="clear" w:color="auto" w:fill="DBE5F1" w:themeFill="accent1" w:themeFillTint="33"/>
          </w:tcPr>
          <w:p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7497D" w:rsidRPr="00961071" w:rsidRDefault="00D7497D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:rsidTr="00EA5EBD">
        <w:tc>
          <w:tcPr>
            <w:tcW w:w="9889" w:type="dxa"/>
            <w:shd w:val="clear" w:color="auto" w:fill="DBE5F1" w:themeFill="accent1" w:themeFillTint="33"/>
          </w:tcPr>
          <w:p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54A06" w:rsidRPr="00854A06" w:rsidRDefault="0011615D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70D9C" w:rsidRPr="00690A89" w:rsidRDefault="00B70D9C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11615D" w:rsidRPr="00690A89" w:rsidRDefault="00AA5E6B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:rsidR="003D4340" w:rsidRPr="00690A89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:rsidR="003D4340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:rsid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610C16" w:rsidRP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:rsidR="00AA5E6B" w:rsidRPr="00940924" w:rsidRDefault="003D4340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:rsidR="0019500F" w:rsidRPr="005D18D0" w:rsidRDefault="004C1FA7" w:rsidP="005D18D0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  <w:r w:rsidR="001629EB">
        <w:rPr>
          <w:rFonts w:ascii="Times New Roman" w:hAnsi="Times New Roman"/>
          <w:b/>
        </w:rPr>
        <w:t>- jeżeli dotyczy</w:t>
      </w:r>
      <w:r w:rsidR="005D18D0">
        <w:rPr>
          <w:rFonts w:ascii="Times New Roman" w:hAnsi="Times New Roman"/>
          <w:b/>
        </w:rPr>
        <w:t>.</w:t>
      </w:r>
    </w:p>
    <w:p w:rsidR="00A27095" w:rsidRPr="001629EB" w:rsidRDefault="00A27095" w:rsidP="002D34E1">
      <w:pPr>
        <w:pStyle w:val="Akapitzlist"/>
        <w:keepLines/>
        <w:suppressAutoHyphens/>
        <w:autoSpaceDE w:val="0"/>
        <w:autoSpaceDN w:val="0"/>
        <w:spacing w:before="60" w:after="6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00F" w:rsidRPr="0004017D" w:rsidRDefault="0019500F" w:rsidP="005206BF">
      <w:pPr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:rsidR="0019500F" w:rsidRPr="0004017D" w:rsidRDefault="0019500F" w:rsidP="005206BF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6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:rsidR="0019500F" w:rsidRPr="0004017D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:rsidR="0019500F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:rsidR="005D66AA" w:rsidRPr="005D66AA" w:rsidRDefault="005D66AA" w:rsidP="005D66AA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:rsidR="006A3D28" w:rsidRPr="00956152" w:rsidRDefault="006A3D28" w:rsidP="00AF21D9">
      <w:pPr>
        <w:pStyle w:val="Akapitzlist"/>
        <w:keepLines/>
        <w:numPr>
          <w:ilvl w:val="0"/>
          <w:numId w:val="64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:rsidR="006A3D28" w:rsidRDefault="006A3D28" w:rsidP="00AF21D9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DB565E" w:rsidP="00D8612A">
            <w:pPr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lastRenderedPageBreak/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DB565E" w:rsidP="00D8612A">
            <w:pPr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DB565E" w:rsidP="00D8612A">
            <w:pPr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Tr="00944CAD">
        <w:tc>
          <w:tcPr>
            <w:tcW w:w="9747" w:type="dxa"/>
            <w:shd w:val="clear" w:color="auto" w:fill="DBE5F1" w:themeFill="accent1" w:themeFillTint="33"/>
          </w:tcPr>
          <w:p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A08A8" w:rsidRPr="003D14B7" w:rsidRDefault="005A08A8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8F4450" w:rsidRPr="008F4450" w:rsidRDefault="008F4450" w:rsidP="00FF1E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:rsidR="009F2C7C" w:rsidRPr="00382ACD" w:rsidRDefault="009F2C7C" w:rsidP="009F2C7C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Cs/>
        </w:rPr>
      </w:pPr>
      <w:r w:rsidRPr="00382ACD">
        <w:rPr>
          <w:rFonts w:ascii="Times New Roman" w:hAnsi="Times New Roman" w:cs="Times New Roman"/>
          <w:bCs/>
        </w:rPr>
        <w:t xml:space="preserve">opisy, fotografie oraz inne podobne materiały dotyczące przedmiotu zamówienia, potwierdzających spełnienie parametrów wymaganych przez Zamawiającego w 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CD2CB4">
        <w:rPr>
          <w:rFonts w:ascii="Times New Roman" w:hAnsi="Times New Roman" w:cs="Times New Roman"/>
          <w:b/>
          <w:bCs/>
        </w:rPr>
        <w:t>1, 2, 3, 4, 5, 6, 7, 8, 9, 10, 11, 12, 13, 14, 15, 16, 17, 18, 19, 20, 21, 22, 23, 24, 25, 26, 27, 28, 29, 30, 31, 32, 35, 36, 37, 38, 39, 40, 41, 42, 43, 44, 45, 46, 47.</w:t>
      </w:r>
    </w:p>
    <w:p w:rsidR="001945D2" w:rsidRPr="00382ACD" w:rsidRDefault="009F2C7C" w:rsidP="009F2C7C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82ACD">
        <w:rPr>
          <w:rFonts w:ascii="Times New Roman" w:hAnsi="Times New Roman" w:cs="Times New Roman"/>
          <w:bCs/>
        </w:rPr>
        <w:t>Oświadczenie dotyczące przedmiotu zamówienia – zgodni</w:t>
      </w:r>
      <w:r w:rsidR="004B2ABF" w:rsidRPr="00382ACD">
        <w:rPr>
          <w:rFonts w:ascii="Times New Roman" w:hAnsi="Times New Roman" w:cs="Times New Roman"/>
          <w:bCs/>
        </w:rPr>
        <w:t xml:space="preserve">e z załącznikiem nr 4 do SWZ </w:t>
      </w:r>
      <w:r w:rsidRPr="00382ACD">
        <w:rPr>
          <w:rFonts w:ascii="Times New Roman" w:hAnsi="Times New Roman" w:cs="Times New Roman"/>
          <w:bCs/>
        </w:rPr>
        <w:t xml:space="preserve">– </w:t>
      </w:r>
      <w:r w:rsidRPr="00382ACD">
        <w:rPr>
          <w:rFonts w:ascii="Times New Roman" w:hAnsi="Times New Roman" w:cs="Times New Roman"/>
          <w:b/>
          <w:bCs/>
        </w:rPr>
        <w:t xml:space="preserve">dotyczy Pakietu nr </w:t>
      </w:r>
      <w:r w:rsidR="00CD2CB4">
        <w:rPr>
          <w:rFonts w:ascii="Times New Roman" w:hAnsi="Times New Roman" w:cs="Times New Roman"/>
          <w:b/>
          <w:bCs/>
        </w:rPr>
        <w:t>1, 2, 3, 4, 5, 6, 7, 8, 9, 10, 11, 12, 13, 14, 15, 16, 17, 18, 19, 20, 21, 22, 23, 24, 25, 26, 27, 28, 29, 30, 31, 32, 35, 36, 37, 38, 39, 40, 41, 42, 43, 44, 45, 46, 47.</w:t>
      </w:r>
    </w:p>
    <w:p w:rsidR="009B3840" w:rsidRPr="00132EFF" w:rsidRDefault="009B3840" w:rsidP="009B38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:rsidR="009B3840" w:rsidRPr="00132EFF" w:rsidRDefault="009B3840" w:rsidP="009B38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A4321C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132EFF" w:rsidRPr="009B3840" w:rsidRDefault="00132EFF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3C95" w:rsidRPr="003D14B7" w:rsidRDefault="00A93C95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Osobą uprawnioną do kontaktu z Wykon</w:t>
      </w:r>
      <w:r w:rsidR="002D281F">
        <w:rPr>
          <w:rFonts w:ascii="Times New Roman" w:hAnsi="Times New Roman" w:cs="Times New Roman"/>
        </w:rPr>
        <w:t>awcami jest Magdalena Benda</w:t>
      </w:r>
      <w:r w:rsidR="002442DD">
        <w:rPr>
          <w:rFonts w:ascii="Times New Roman" w:hAnsi="Times New Roman" w:cs="Times New Roman"/>
        </w:rPr>
        <w:t>.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8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1" w:name="__RefHeading__76_381024118"/>
      <w:bookmarkEnd w:id="21"/>
    </w:p>
    <w:p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Tr="00BC791C">
        <w:tc>
          <w:tcPr>
            <w:tcW w:w="9747" w:type="dxa"/>
            <w:shd w:val="clear" w:color="auto" w:fill="DBE5F1" w:themeFill="accent1" w:themeFillTint="33"/>
          </w:tcPr>
          <w:p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C3C4F" w:rsidRPr="00F910EB" w:rsidRDefault="00F910EB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C3C4F" w:rsidRPr="001C634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00A33" w:rsidRPr="001C6345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411F7" w:rsidRDefault="005411F7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B5909" w:rsidRDefault="00DB5909" w:rsidP="00DB5909">
      <w:pPr>
        <w:pStyle w:val="Default"/>
      </w:pPr>
    </w:p>
    <w:p w:rsidR="00DB5909" w:rsidRPr="00070EC6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70EC6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070EC6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070EC6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070EC6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70EC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44932" w:rsidRPr="00070EC6">
        <w:rPr>
          <w:rFonts w:ascii="Times New Roman" w:eastAsia="Times New Roman" w:hAnsi="Times New Roman" w:cs="Times New Roman"/>
          <w:b/>
          <w:lang w:eastAsia="ar-SA"/>
        </w:rPr>
        <w:t>1</w:t>
      </w:r>
      <w:r w:rsidR="00070EC6" w:rsidRPr="00070EC6">
        <w:rPr>
          <w:rFonts w:ascii="Times New Roman" w:eastAsia="Times New Roman" w:hAnsi="Times New Roman" w:cs="Times New Roman"/>
          <w:b/>
          <w:lang w:eastAsia="ar-SA"/>
        </w:rPr>
        <w:t>7</w:t>
      </w:r>
      <w:r w:rsidR="004B7502" w:rsidRPr="00070EC6">
        <w:rPr>
          <w:rFonts w:ascii="Times New Roman" w:eastAsia="Times New Roman" w:hAnsi="Times New Roman" w:cs="Times New Roman"/>
          <w:b/>
          <w:lang w:eastAsia="ar-SA"/>
        </w:rPr>
        <w:t>.12</w:t>
      </w:r>
      <w:r w:rsidR="00C34C03" w:rsidRPr="00070EC6">
        <w:rPr>
          <w:rFonts w:ascii="Times New Roman" w:eastAsia="Times New Roman" w:hAnsi="Times New Roman" w:cs="Times New Roman"/>
          <w:b/>
          <w:lang w:eastAsia="ar-SA"/>
        </w:rPr>
        <w:t>.</w:t>
      </w:r>
      <w:r w:rsidR="00444932" w:rsidRPr="00070EC6">
        <w:rPr>
          <w:rFonts w:ascii="Times New Roman" w:eastAsia="Times New Roman" w:hAnsi="Times New Roman" w:cs="Times New Roman"/>
          <w:b/>
          <w:lang w:eastAsia="ar-SA"/>
        </w:rPr>
        <w:t>2022</w:t>
      </w:r>
      <w:r w:rsidR="002D7E93" w:rsidRPr="00070EC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70EC6">
        <w:rPr>
          <w:rFonts w:ascii="Times New Roman" w:eastAsia="Times New Roman" w:hAnsi="Times New Roman" w:cs="Times New Roman"/>
          <w:b/>
          <w:lang w:eastAsia="ar-SA"/>
        </w:rPr>
        <w:t>r.</w:t>
      </w:r>
    </w:p>
    <w:p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:rsidR="00DB5909" w:rsidRPr="00382ACD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382ACD" w:rsidRPr="007E259D" w:rsidRDefault="00382ACD" w:rsidP="00382AC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:rsidTr="002A2A49">
        <w:tc>
          <w:tcPr>
            <w:tcW w:w="9889" w:type="dxa"/>
            <w:shd w:val="clear" w:color="auto" w:fill="DBE5F1" w:themeFill="accent1" w:themeFillTint="33"/>
          </w:tcPr>
          <w:p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909" w:rsidRDefault="00DB5909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:rsidR="004F720A" w:rsidRPr="00804C82" w:rsidRDefault="00025A02" w:rsidP="00847AE4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0F2BE6" w:rsidRDefault="000F2BE6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:rsidR="0093587C" w:rsidRPr="0093587C" w:rsidRDefault="0093587C" w:rsidP="0093587C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:rsidR="004F720A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1618CA" w:rsidRPr="00382ACD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potwierdzających spełnienie parametrów wymaganych przez Zamawiającego w 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2D281F">
        <w:rPr>
          <w:rFonts w:ascii="Times New Roman" w:hAnsi="Times New Roman" w:cs="Times New Roman"/>
          <w:b/>
          <w:bCs/>
        </w:rPr>
        <w:t>1, 2, 3, 4, 5, 6, 7, 8, 9, 10, 11, 12, 13, 14, 15, 16, 17, 18, 19, 20, 21, 22, 23, 24, 25, 26, 27, 28, 29, 30, 31, 32, 35, 36, 37, 38, 39, 40, 41, 42, 43, 44, 45, 46, 47.</w:t>
      </w:r>
    </w:p>
    <w:p w:rsidR="009F2C7C" w:rsidRPr="00382ACD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oświadczenie dotyczące przedmiotu zamówienia – zgodnie z załącznikiem nr 4 do SWZ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2D281F">
        <w:rPr>
          <w:rFonts w:ascii="Times New Roman" w:hAnsi="Times New Roman" w:cs="Times New Roman"/>
          <w:b/>
          <w:bCs/>
        </w:rPr>
        <w:t>1, 2, 3, 4, 5, 6, 7, 8, 9, 10, 11, 12, 13, 14, 15, 16, 17, 18, 19, 20, 21, 22, 23, 24, 25, 26, 27, 28, 29, 30, 31, 32, 35, 36, 37, 38, 39, 40, 41, 42, 43, 44, 45, 46, 47.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</w:t>
      </w:r>
      <w:r w:rsidR="009C10B5">
        <w:rPr>
          <w:rFonts w:ascii="Times New Roman" w:eastAsia="Times New Roman" w:hAnsi="Times New Roman" w:cs="Times New Roman"/>
          <w:lang w:eastAsia="ar-SA"/>
        </w:rPr>
        <w:t xml:space="preserve">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</w:t>
      </w: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podpisem, podpisem zaufanym lub podpisem osobistym mocodawcy. Elektroniczna kopia pełnomocnictwa nie może być uwierzytelniona przez upełnomocnionego.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>Zamawiający zaleca, aby Wykonawca z odpowiednim wyprzedzeniem przetestował możliwość prawidłowego wykorzystania wybranej metody podpisania plików oferty.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:rsidTr="00AE24D0">
        <w:tc>
          <w:tcPr>
            <w:tcW w:w="9889" w:type="dxa"/>
            <w:shd w:val="clear" w:color="auto" w:fill="DBE5F1" w:themeFill="accent1" w:themeFillTint="33"/>
          </w:tcPr>
          <w:p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AE24D0">
        <w:tc>
          <w:tcPr>
            <w:tcW w:w="9889" w:type="dxa"/>
            <w:shd w:val="clear" w:color="auto" w:fill="DBE5F1" w:themeFill="accent1" w:themeFillTint="33"/>
          </w:tcPr>
          <w:p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1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444932" w:rsidRPr="009C10B5">
        <w:rPr>
          <w:rFonts w:ascii="Times New Roman" w:eastAsia="Calibri" w:hAnsi="Times New Roman" w:cs="Times New Roman"/>
          <w:b/>
          <w:color w:val="FF0000"/>
          <w:lang w:eastAsia="pl-PL"/>
        </w:rPr>
        <w:t>1</w:t>
      </w:r>
      <w:r w:rsidR="00070EC6">
        <w:rPr>
          <w:rFonts w:ascii="Times New Roman" w:eastAsia="Calibri" w:hAnsi="Times New Roman" w:cs="Times New Roman"/>
          <w:b/>
          <w:color w:val="FF0000"/>
          <w:lang w:eastAsia="pl-PL"/>
        </w:rPr>
        <w:t>9</w:t>
      </w:r>
      <w:r w:rsidR="005D66AA" w:rsidRPr="009C10B5">
        <w:rPr>
          <w:rFonts w:ascii="Times New Roman" w:eastAsia="Calibri" w:hAnsi="Times New Roman" w:cs="Times New Roman"/>
          <w:b/>
          <w:color w:val="FF0000"/>
          <w:lang w:eastAsia="pl-PL"/>
        </w:rPr>
        <w:t>.</w:t>
      </w:r>
      <w:r w:rsidR="004B7502">
        <w:rPr>
          <w:rFonts w:ascii="Times New Roman" w:eastAsia="Calibri" w:hAnsi="Times New Roman" w:cs="Times New Roman"/>
          <w:b/>
          <w:color w:val="FF0000"/>
          <w:lang w:eastAsia="pl-PL"/>
        </w:rPr>
        <w:t>09</w:t>
      </w:r>
      <w:r w:rsidR="00D95629" w:rsidRPr="009C10B5">
        <w:rPr>
          <w:rFonts w:ascii="Times New Roman" w:eastAsia="Calibri" w:hAnsi="Times New Roman" w:cs="Times New Roman"/>
          <w:b/>
          <w:color w:val="FF0000"/>
          <w:lang w:eastAsia="pl-PL"/>
        </w:rPr>
        <w:t>.202</w:t>
      </w:r>
      <w:r w:rsidR="00512BE2" w:rsidRPr="009C10B5">
        <w:rPr>
          <w:rFonts w:ascii="Times New Roman" w:eastAsia="Calibri" w:hAnsi="Times New Roman" w:cs="Times New Roman"/>
          <w:b/>
          <w:color w:val="FF0000"/>
          <w:lang w:eastAsia="pl-PL"/>
        </w:rPr>
        <w:t>2</w:t>
      </w:r>
      <w:r w:rsidR="00D95629" w:rsidRPr="009C10B5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 r. do godz. 09:00</w:t>
      </w:r>
      <w:r w:rsidR="004C5BFD" w:rsidRPr="009C10B5">
        <w:rPr>
          <w:rFonts w:ascii="Times New Roman" w:eastAsia="Calibri" w:hAnsi="Times New Roman" w:cs="Times New Roman"/>
          <w:color w:val="FF0000"/>
          <w:lang w:eastAsia="pl-PL"/>
        </w:rPr>
        <w:t>.</w:t>
      </w:r>
    </w:p>
    <w:p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1B705E">
        <w:tc>
          <w:tcPr>
            <w:tcW w:w="9889" w:type="dxa"/>
            <w:shd w:val="clear" w:color="auto" w:fill="DBE5F1" w:themeFill="accent1" w:themeFillTint="33"/>
          </w:tcPr>
          <w:p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444932" w:rsidRPr="009C10B5">
        <w:rPr>
          <w:rFonts w:ascii="Times New Roman" w:hAnsi="Times New Roman" w:cs="Times New Roman"/>
          <w:b/>
          <w:color w:val="FF0000"/>
        </w:rPr>
        <w:t>1</w:t>
      </w:r>
      <w:r w:rsidR="00070EC6">
        <w:rPr>
          <w:rFonts w:ascii="Times New Roman" w:hAnsi="Times New Roman" w:cs="Times New Roman"/>
          <w:b/>
          <w:color w:val="FF0000"/>
        </w:rPr>
        <w:t>9</w:t>
      </w:r>
      <w:r w:rsidR="005D66AA" w:rsidRPr="009C10B5">
        <w:rPr>
          <w:rFonts w:ascii="Times New Roman" w:hAnsi="Times New Roman" w:cs="Times New Roman"/>
          <w:b/>
          <w:color w:val="FF0000"/>
        </w:rPr>
        <w:t>.</w:t>
      </w:r>
      <w:r w:rsidR="004B7502">
        <w:rPr>
          <w:rFonts w:ascii="Times New Roman" w:hAnsi="Times New Roman" w:cs="Times New Roman"/>
          <w:b/>
          <w:color w:val="FF0000"/>
        </w:rPr>
        <w:t>09</w:t>
      </w:r>
      <w:r w:rsidR="0096689F" w:rsidRPr="009C10B5">
        <w:rPr>
          <w:rFonts w:ascii="Times New Roman" w:hAnsi="Times New Roman" w:cs="Times New Roman"/>
          <w:b/>
          <w:color w:val="FF0000"/>
        </w:rPr>
        <w:t>.202</w:t>
      </w:r>
      <w:r w:rsidR="00512BE2" w:rsidRPr="009C10B5">
        <w:rPr>
          <w:rFonts w:ascii="Times New Roman" w:hAnsi="Times New Roman" w:cs="Times New Roman"/>
          <w:b/>
          <w:color w:val="FF0000"/>
        </w:rPr>
        <w:t>2</w:t>
      </w:r>
      <w:r w:rsidRPr="009C10B5">
        <w:rPr>
          <w:rFonts w:ascii="Times New Roman" w:hAnsi="Times New Roman" w:cs="Times New Roman"/>
          <w:b/>
          <w:color w:val="FF0000"/>
        </w:rPr>
        <w:t xml:space="preserve">, o godzinie </w:t>
      </w:r>
      <w:r w:rsidR="003E4209" w:rsidRPr="009C10B5">
        <w:rPr>
          <w:rFonts w:ascii="Times New Roman" w:hAnsi="Times New Roman" w:cs="Times New Roman"/>
          <w:b/>
          <w:color w:val="FF0000"/>
        </w:rPr>
        <w:t>0</w:t>
      </w:r>
      <w:r w:rsidR="004B7502">
        <w:rPr>
          <w:rFonts w:ascii="Times New Roman" w:hAnsi="Times New Roman" w:cs="Times New Roman"/>
          <w:b/>
          <w:color w:val="FF0000"/>
        </w:rPr>
        <w:t>9:15</w:t>
      </w:r>
      <w:r w:rsidRPr="009C10B5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>nazwach albo imionach i nazwiskach ora</w:t>
      </w:r>
      <w:bookmarkStart w:id="22" w:name="_GoBack"/>
      <w:bookmarkEnd w:id="22"/>
      <w:r w:rsidRPr="006F3302">
        <w:rPr>
          <w:rFonts w:ascii="Times New Roman" w:hAnsi="Times New Roman" w:cs="Times New Roman"/>
          <w:color w:val="000000"/>
        </w:rPr>
        <w:t xml:space="preserve">z siedzibach lub miejscach prowadzonej działalności gospodarczej albo miejscach zamieszkania wykonawców, których oferty zostały otwarte; </w:t>
      </w:r>
    </w:p>
    <w:p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      - informacja zostanie opublikowana na stronie postępowania na </w:t>
      </w:r>
      <w:hyperlink r:id="rId35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6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:rsidR="007E259D" w:rsidRPr="009C10B5" w:rsidRDefault="006F3302" w:rsidP="005C64A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:rsidR="009C10B5" w:rsidRDefault="009C10B5" w:rsidP="009C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C10B5" w:rsidRDefault="009C10B5" w:rsidP="009C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C10B5" w:rsidRDefault="009C10B5" w:rsidP="009C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C10B5" w:rsidRDefault="009C10B5" w:rsidP="009C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C10B5" w:rsidRPr="005D66AA" w:rsidRDefault="009C10B5" w:rsidP="009C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:rsidTr="00FD331B">
        <w:tc>
          <w:tcPr>
            <w:tcW w:w="9889" w:type="dxa"/>
            <w:shd w:val="clear" w:color="auto" w:fill="DBE5F1" w:themeFill="accent1" w:themeFillTint="33"/>
          </w:tcPr>
          <w:p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101938">
        <w:rPr>
          <w:rFonts w:ascii="Times New Roman" w:eastAsia="Calibri" w:hAnsi="Times New Roman" w:cs="Times New Roman"/>
        </w:rPr>
        <w:t>7</w:t>
      </w:r>
      <w:r w:rsidR="001618CA">
        <w:rPr>
          <w:rFonts w:ascii="Times New Roman" w:eastAsia="Calibri" w:hAnsi="Times New Roman" w:cs="Times New Roman"/>
        </w:rPr>
        <w:t>7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:rsidTr="00FD331B">
        <w:tc>
          <w:tcPr>
            <w:tcW w:w="9747" w:type="dxa"/>
            <w:shd w:val="clear" w:color="auto" w:fill="DBE5F1" w:themeFill="accent1" w:themeFillTint="33"/>
          </w:tcPr>
          <w:p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lastRenderedPageBreak/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:rsidTr="001A4954">
        <w:tc>
          <w:tcPr>
            <w:tcW w:w="9747" w:type="dxa"/>
            <w:shd w:val="clear" w:color="auto" w:fill="DBE5F1" w:themeFill="accent1" w:themeFillTint="33"/>
          </w:tcPr>
          <w:p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Tr="00BC3815">
        <w:tc>
          <w:tcPr>
            <w:tcW w:w="9781" w:type="dxa"/>
            <w:shd w:val="clear" w:color="auto" w:fill="DBE5F1" w:themeFill="accent1" w:themeFillTint="33"/>
          </w:tcPr>
          <w:p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3" w:name="__RefHeading__86_381024118"/>
      <w:bookmarkEnd w:id="23"/>
    </w:p>
    <w:p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c>
          <w:tcPr>
            <w:tcW w:w="9747" w:type="dxa"/>
            <w:shd w:val="clear" w:color="auto" w:fill="DBE5F1" w:themeFill="accent1" w:themeFillTint="33"/>
          </w:tcPr>
          <w:p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</w:t>
      </w:r>
      <w:proofErr w:type="spellStart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Glubiak</w:t>
      </w:r>
      <w:proofErr w:type="spellEnd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7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1618CA">
        <w:rPr>
          <w:rFonts w:ascii="Times New Roman" w:eastAsia="Calibri" w:hAnsi="Times New Roman" w:cs="Times New Roman"/>
          <w:b/>
          <w:color w:val="000000"/>
        </w:rPr>
        <w:t>Z</w:t>
      </w:r>
      <w:r w:rsidR="002B0CF8">
        <w:rPr>
          <w:rFonts w:ascii="Times New Roman" w:eastAsia="Calibri" w:hAnsi="Times New Roman" w:cs="Times New Roman"/>
          <w:b/>
          <w:color w:val="000000"/>
        </w:rPr>
        <w:t>P</w:t>
      </w:r>
      <w:r w:rsidR="001618CA">
        <w:rPr>
          <w:rFonts w:ascii="Times New Roman" w:eastAsia="Calibri" w:hAnsi="Times New Roman" w:cs="Times New Roman"/>
          <w:b/>
          <w:color w:val="000000"/>
        </w:rPr>
        <w:t>-</w:t>
      </w:r>
      <w:r w:rsidR="009C10B5">
        <w:rPr>
          <w:rFonts w:ascii="Times New Roman" w:eastAsia="Calibri" w:hAnsi="Times New Roman" w:cs="Times New Roman"/>
          <w:b/>
          <w:color w:val="000000"/>
        </w:rPr>
        <w:t>260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101938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podwykonawcy/podmiotu trzeciego będącego osobą fizyczną,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:rsid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618C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– oświadczenie Wykonawcy dotyczące przedmiotu zamówienia</w:t>
      </w:r>
    </w:p>
    <w:p w:rsidR="00E7046F" w:rsidRPr="001618CA" w:rsidRDefault="00E7046F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5 - oświadczenie W</w:t>
      </w:r>
      <w:r w:rsidRPr="00E7046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ykonawcy art. 5k i art. 7</w:t>
      </w:r>
    </w:p>
    <w:p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7301F" w:rsidRPr="0037301F" w:rsidRDefault="0037301F" w:rsidP="0037301F">
      <w:pPr>
        <w:tabs>
          <w:tab w:val="num" w:pos="0"/>
        </w:tabs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301F" w:rsidRDefault="0037301F" w:rsidP="0037301F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</w:pPr>
    </w:p>
    <w:p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02" w:rsidRDefault="004B7502">
      <w:pPr>
        <w:spacing w:after="0" w:line="240" w:lineRule="auto"/>
      </w:pPr>
      <w:r>
        <w:separator/>
      </w:r>
    </w:p>
  </w:endnote>
  <w:endnote w:type="continuationSeparator" w:id="0">
    <w:p w:rsidR="004B7502" w:rsidRDefault="004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7502" w:rsidRPr="00851403" w:rsidRDefault="004B7502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50F7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17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50F7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02" w:rsidRDefault="004B7502">
      <w:pPr>
        <w:spacing w:after="0" w:line="240" w:lineRule="auto"/>
      </w:pPr>
      <w:r>
        <w:separator/>
      </w:r>
    </w:p>
  </w:footnote>
  <w:footnote w:type="continuationSeparator" w:id="0">
    <w:p w:rsidR="004B7502" w:rsidRDefault="004B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42DA"/>
    <w:multiLevelType w:val="hybridMultilevel"/>
    <w:tmpl w:val="B8AAC89E"/>
    <w:lvl w:ilvl="0" w:tplc="4A00716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4C58E4"/>
    <w:multiLevelType w:val="hybridMultilevel"/>
    <w:tmpl w:val="0BC4C7DE"/>
    <w:lvl w:ilvl="0" w:tplc="1CEE4C6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6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0C6156"/>
    <w:multiLevelType w:val="hybridMultilevel"/>
    <w:tmpl w:val="00BEC848"/>
    <w:lvl w:ilvl="0" w:tplc="FFFFFFFF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77B479B1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A240264"/>
    <w:multiLevelType w:val="hybridMultilevel"/>
    <w:tmpl w:val="AB22CD8A"/>
    <w:lvl w:ilvl="0" w:tplc="7C52E2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7"/>
  </w:num>
  <w:num w:numId="3">
    <w:abstractNumId w:val="42"/>
  </w:num>
  <w:num w:numId="4">
    <w:abstractNumId w:val="43"/>
  </w:num>
  <w:num w:numId="5">
    <w:abstractNumId w:val="2"/>
  </w:num>
  <w:num w:numId="6">
    <w:abstractNumId w:val="49"/>
  </w:num>
  <w:num w:numId="7">
    <w:abstractNumId w:val="48"/>
  </w:num>
  <w:num w:numId="8">
    <w:abstractNumId w:val="53"/>
  </w:num>
  <w:num w:numId="9">
    <w:abstractNumId w:val="31"/>
  </w:num>
  <w:num w:numId="10">
    <w:abstractNumId w:val="30"/>
  </w:num>
  <w:num w:numId="11">
    <w:abstractNumId w:val="32"/>
  </w:num>
  <w:num w:numId="12">
    <w:abstractNumId w:val="10"/>
  </w:num>
  <w:num w:numId="13">
    <w:abstractNumId w:val="7"/>
  </w:num>
  <w:num w:numId="14">
    <w:abstractNumId w:val="12"/>
  </w:num>
  <w:num w:numId="15">
    <w:abstractNumId w:val="35"/>
  </w:num>
  <w:num w:numId="16">
    <w:abstractNumId w:val="46"/>
  </w:num>
  <w:num w:numId="17">
    <w:abstractNumId w:val="57"/>
  </w:num>
  <w:num w:numId="18">
    <w:abstractNumId w:val="29"/>
  </w:num>
  <w:num w:numId="19">
    <w:abstractNumId w:val="36"/>
  </w:num>
  <w:num w:numId="20">
    <w:abstractNumId w:val="50"/>
  </w:num>
  <w:num w:numId="21">
    <w:abstractNumId w:val="3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40"/>
  </w:num>
  <w:num w:numId="31">
    <w:abstractNumId w:val="45"/>
  </w:num>
  <w:num w:numId="32">
    <w:abstractNumId w:val="17"/>
  </w:num>
  <w:num w:numId="33">
    <w:abstractNumId w:val="9"/>
  </w:num>
  <w:num w:numId="34">
    <w:abstractNumId w:val="37"/>
  </w:num>
  <w:num w:numId="35">
    <w:abstractNumId w:val="16"/>
  </w:num>
  <w:num w:numId="36">
    <w:abstractNumId w:val="1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5"/>
  </w:num>
  <w:num w:numId="41">
    <w:abstractNumId w:val="1"/>
  </w:num>
  <w:num w:numId="42">
    <w:abstractNumId w:val="19"/>
  </w:num>
  <w:num w:numId="43">
    <w:abstractNumId w:val="22"/>
  </w:num>
  <w:num w:numId="44">
    <w:abstractNumId w:val="63"/>
  </w:num>
  <w:num w:numId="45">
    <w:abstractNumId w:val="51"/>
  </w:num>
  <w:num w:numId="46">
    <w:abstractNumId w:val="64"/>
  </w:num>
  <w:num w:numId="47">
    <w:abstractNumId w:val="34"/>
  </w:num>
  <w:num w:numId="48">
    <w:abstractNumId w:val="56"/>
  </w:num>
  <w:num w:numId="49">
    <w:abstractNumId w:val="41"/>
  </w:num>
  <w:num w:numId="50">
    <w:abstractNumId w:val="14"/>
  </w:num>
  <w:num w:numId="51">
    <w:abstractNumId w:val="6"/>
  </w:num>
  <w:num w:numId="52">
    <w:abstractNumId w:val="58"/>
  </w:num>
  <w:num w:numId="53">
    <w:abstractNumId w:val="11"/>
  </w:num>
  <w:num w:numId="54">
    <w:abstractNumId w:val="26"/>
  </w:num>
  <w:num w:numId="55">
    <w:abstractNumId w:val="21"/>
  </w:num>
  <w:num w:numId="56">
    <w:abstractNumId w:val="44"/>
  </w:num>
  <w:num w:numId="57">
    <w:abstractNumId w:val="4"/>
  </w:num>
  <w:num w:numId="58">
    <w:abstractNumId w:val="59"/>
  </w:num>
  <w:num w:numId="59">
    <w:abstractNumId w:val="3"/>
  </w:num>
  <w:num w:numId="60">
    <w:abstractNumId w:val="65"/>
  </w:num>
  <w:num w:numId="61">
    <w:abstractNumId w:val="60"/>
  </w:num>
  <w:num w:numId="62">
    <w:abstractNumId w:val="27"/>
  </w:num>
  <w:num w:numId="63">
    <w:abstractNumId w:val="20"/>
  </w:num>
  <w:num w:numId="64">
    <w:abstractNumId w:val="39"/>
  </w:num>
  <w:num w:numId="65">
    <w:abstractNumId w:val="62"/>
  </w:num>
  <w:num w:numId="66">
    <w:abstractNumId w:val="54"/>
  </w:num>
  <w:num w:numId="67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39FC0F8-2C5E-4474-9F08-59E72B53973F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0EC6"/>
    <w:rsid w:val="0007311E"/>
    <w:rsid w:val="0007555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D08E8"/>
    <w:rsid w:val="000D573E"/>
    <w:rsid w:val="000D703C"/>
    <w:rsid w:val="000E43E0"/>
    <w:rsid w:val="000F1AFA"/>
    <w:rsid w:val="000F2BE6"/>
    <w:rsid w:val="000F6735"/>
    <w:rsid w:val="001012CC"/>
    <w:rsid w:val="00101938"/>
    <w:rsid w:val="00105B70"/>
    <w:rsid w:val="0011615D"/>
    <w:rsid w:val="001239F9"/>
    <w:rsid w:val="001267B0"/>
    <w:rsid w:val="00132D63"/>
    <w:rsid w:val="00132EFF"/>
    <w:rsid w:val="00140D06"/>
    <w:rsid w:val="00144B2D"/>
    <w:rsid w:val="001618CA"/>
    <w:rsid w:val="00161E19"/>
    <w:rsid w:val="001629EB"/>
    <w:rsid w:val="001669DB"/>
    <w:rsid w:val="001674CD"/>
    <w:rsid w:val="00172DE5"/>
    <w:rsid w:val="00177626"/>
    <w:rsid w:val="00183D5F"/>
    <w:rsid w:val="001945D2"/>
    <w:rsid w:val="0019500F"/>
    <w:rsid w:val="001A4954"/>
    <w:rsid w:val="001A611B"/>
    <w:rsid w:val="001A61F3"/>
    <w:rsid w:val="001B4CB5"/>
    <w:rsid w:val="001B6357"/>
    <w:rsid w:val="001B7055"/>
    <w:rsid w:val="001B705E"/>
    <w:rsid w:val="001B7B2B"/>
    <w:rsid w:val="001C22B4"/>
    <w:rsid w:val="001C4385"/>
    <w:rsid w:val="001C634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85C"/>
    <w:rsid w:val="0020751C"/>
    <w:rsid w:val="00215F52"/>
    <w:rsid w:val="00227B4C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B0CF8"/>
    <w:rsid w:val="002B41B5"/>
    <w:rsid w:val="002D0B16"/>
    <w:rsid w:val="002D281F"/>
    <w:rsid w:val="002D34E1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26CAD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2ACD"/>
    <w:rsid w:val="003850CA"/>
    <w:rsid w:val="00387ED5"/>
    <w:rsid w:val="003A21A8"/>
    <w:rsid w:val="003A232E"/>
    <w:rsid w:val="003A3E66"/>
    <w:rsid w:val="003A6AAE"/>
    <w:rsid w:val="003C1167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4EDD"/>
    <w:rsid w:val="0046233A"/>
    <w:rsid w:val="00463A42"/>
    <w:rsid w:val="004648B1"/>
    <w:rsid w:val="00465818"/>
    <w:rsid w:val="00467648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B7502"/>
    <w:rsid w:val="004C1FA7"/>
    <w:rsid w:val="004C58C9"/>
    <w:rsid w:val="004C5BFD"/>
    <w:rsid w:val="004D6E96"/>
    <w:rsid w:val="004F1E7D"/>
    <w:rsid w:val="004F20A1"/>
    <w:rsid w:val="004F23C3"/>
    <w:rsid w:val="004F408C"/>
    <w:rsid w:val="004F720A"/>
    <w:rsid w:val="004F7AD0"/>
    <w:rsid w:val="00501AC5"/>
    <w:rsid w:val="00507024"/>
    <w:rsid w:val="005123AD"/>
    <w:rsid w:val="00512BE2"/>
    <w:rsid w:val="005138B3"/>
    <w:rsid w:val="005206BF"/>
    <w:rsid w:val="00524330"/>
    <w:rsid w:val="00524BB2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B6460"/>
    <w:rsid w:val="005C0F93"/>
    <w:rsid w:val="005C4428"/>
    <w:rsid w:val="005C64AE"/>
    <w:rsid w:val="005D1893"/>
    <w:rsid w:val="005D18D0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E3D33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2BB0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1093C"/>
    <w:rsid w:val="008211AA"/>
    <w:rsid w:val="00827BC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279B8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0F14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10B5"/>
    <w:rsid w:val="009C2C75"/>
    <w:rsid w:val="009C2D21"/>
    <w:rsid w:val="009C3D21"/>
    <w:rsid w:val="009D20DE"/>
    <w:rsid w:val="009F0084"/>
    <w:rsid w:val="009F2C7C"/>
    <w:rsid w:val="009F4E4D"/>
    <w:rsid w:val="00A03B5E"/>
    <w:rsid w:val="00A110DA"/>
    <w:rsid w:val="00A1417A"/>
    <w:rsid w:val="00A16E58"/>
    <w:rsid w:val="00A27095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4A6F"/>
    <w:rsid w:val="00AA5E6B"/>
    <w:rsid w:val="00AB06F6"/>
    <w:rsid w:val="00AB1A2D"/>
    <w:rsid w:val="00AB4CD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6E75"/>
    <w:rsid w:val="00B37ACA"/>
    <w:rsid w:val="00B44437"/>
    <w:rsid w:val="00B5050D"/>
    <w:rsid w:val="00B5241F"/>
    <w:rsid w:val="00B57AB7"/>
    <w:rsid w:val="00B640AA"/>
    <w:rsid w:val="00B66125"/>
    <w:rsid w:val="00B70D9C"/>
    <w:rsid w:val="00B757BD"/>
    <w:rsid w:val="00B75CA2"/>
    <w:rsid w:val="00B80FEC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BF7D67"/>
    <w:rsid w:val="00C00F03"/>
    <w:rsid w:val="00C11DC1"/>
    <w:rsid w:val="00C14488"/>
    <w:rsid w:val="00C2135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B306C"/>
    <w:rsid w:val="00CB4661"/>
    <w:rsid w:val="00CB4865"/>
    <w:rsid w:val="00CC1B02"/>
    <w:rsid w:val="00CD2CB4"/>
    <w:rsid w:val="00CD37CA"/>
    <w:rsid w:val="00CD4EF9"/>
    <w:rsid w:val="00CD70F7"/>
    <w:rsid w:val="00CF1278"/>
    <w:rsid w:val="00D00696"/>
    <w:rsid w:val="00D00A33"/>
    <w:rsid w:val="00D05987"/>
    <w:rsid w:val="00D22234"/>
    <w:rsid w:val="00D22E84"/>
    <w:rsid w:val="00D244AC"/>
    <w:rsid w:val="00D2450B"/>
    <w:rsid w:val="00D2644B"/>
    <w:rsid w:val="00D32761"/>
    <w:rsid w:val="00D33FED"/>
    <w:rsid w:val="00D462F2"/>
    <w:rsid w:val="00D50F7F"/>
    <w:rsid w:val="00D516B6"/>
    <w:rsid w:val="00D53C13"/>
    <w:rsid w:val="00D6296A"/>
    <w:rsid w:val="00D73D3D"/>
    <w:rsid w:val="00D7497D"/>
    <w:rsid w:val="00D75B1C"/>
    <w:rsid w:val="00D85301"/>
    <w:rsid w:val="00D8612A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C252B"/>
    <w:rsid w:val="00DC5F0C"/>
    <w:rsid w:val="00DC74F1"/>
    <w:rsid w:val="00DC7D5D"/>
    <w:rsid w:val="00DD7BA9"/>
    <w:rsid w:val="00DE47D3"/>
    <w:rsid w:val="00DE72A6"/>
    <w:rsid w:val="00E0587B"/>
    <w:rsid w:val="00E05C7D"/>
    <w:rsid w:val="00E07964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7046F"/>
    <w:rsid w:val="00E7117F"/>
    <w:rsid w:val="00E754F7"/>
    <w:rsid w:val="00E7715E"/>
    <w:rsid w:val="00E81BA1"/>
    <w:rsid w:val="00E9035F"/>
    <w:rsid w:val="00E91079"/>
    <w:rsid w:val="00E96E97"/>
    <w:rsid w:val="00EA0FA8"/>
    <w:rsid w:val="00EA179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C0F8-2C5E-4474-9F08-59E72B53973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8F29DF-AF0E-4AEA-9251-28DC7832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9295</Words>
  <Characters>55774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29</cp:revision>
  <cp:lastPrinted>2022-08-08T08:30:00Z</cp:lastPrinted>
  <dcterms:created xsi:type="dcterms:W3CDTF">2022-07-28T08:46:00Z</dcterms:created>
  <dcterms:modified xsi:type="dcterms:W3CDTF">2022-08-12T07:14:00Z</dcterms:modified>
</cp:coreProperties>
</file>