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82F87" w14:textId="77777777" w:rsidR="004B112F" w:rsidRDefault="00AF7FE0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bookmarkStart w:id="0" w:name="_Hlk70975695"/>
      <w:r>
        <w:rPr>
          <w:rFonts w:ascii="Bahnschrift" w:hAnsi="Bahnschrift" w:cs="Tahoma"/>
          <w:b/>
          <w:sz w:val="28"/>
          <w:szCs w:val="28"/>
          <w:lang w:eastAsia="en-US" w:bidi="ar-SA"/>
        </w:rPr>
        <w:t>Opis przedmiotu zamówienia</w:t>
      </w:r>
      <w:bookmarkEnd w:id="0"/>
    </w:p>
    <w:p w14:paraId="1D942BDC" w14:textId="77777777" w:rsidR="004B112F" w:rsidRDefault="00AF7FE0">
      <w:pPr>
        <w:widowControl/>
        <w:spacing w:after="200" w:line="276" w:lineRule="auto"/>
        <w:jc w:val="center"/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bCs/>
          <w:sz w:val="28"/>
          <w:szCs w:val="28"/>
          <w:lang w:eastAsia="en-US" w:bidi="ar-SA"/>
        </w:rPr>
        <w:t xml:space="preserve">Cz. C - Mobilna stacja robocza </w:t>
      </w:r>
      <w:r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  <w:t>wraz ze stacją dokującą</w:t>
      </w:r>
    </w:p>
    <w:tbl>
      <w:tblPr>
        <w:tblW w:w="13869" w:type="dxa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607"/>
        <w:gridCol w:w="5883"/>
        <w:gridCol w:w="6379"/>
      </w:tblGrid>
      <w:tr w:rsidR="00F77C4E" w:rsidRPr="00CA741B" w14:paraId="3A9A8BC4" w14:textId="77777777" w:rsidTr="003527CB">
        <w:trPr>
          <w:cantSplit/>
          <w:trHeight w:val="300"/>
          <w:tblHeader/>
        </w:trPr>
        <w:tc>
          <w:tcPr>
            <w:tcW w:w="13869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461DDD1" w14:textId="4C719C50" w:rsidR="00F77C4E" w:rsidRDefault="00F77C4E" w:rsidP="003527CB">
            <w:pPr>
              <w:widowControl/>
              <w:spacing w:before="40" w:after="40" w:line="480" w:lineRule="auto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proofErr w:type="spellStart"/>
            <w:r w:rsidRPr="00F77C4E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Mobilna</w:t>
            </w:r>
            <w:proofErr w:type="spellEnd"/>
            <w:r w:rsidRPr="00F77C4E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proofErr w:type="spellStart"/>
            <w:r w:rsidRPr="00F77C4E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stacja</w:t>
            </w:r>
            <w:proofErr w:type="spellEnd"/>
            <w:r w:rsidRPr="00F77C4E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proofErr w:type="spellStart"/>
            <w:r w:rsidRPr="00F77C4E"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robocza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,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ilość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50</w:t>
            </w:r>
            <w:bookmarkStart w:id="1" w:name="_GoBack"/>
            <w:bookmarkEnd w:id="1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szt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.</w:t>
            </w:r>
          </w:p>
          <w:p w14:paraId="59876780" w14:textId="77777777" w:rsidR="00F77C4E" w:rsidRDefault="00F77C4E" w:rsidP="003527CB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Producent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 model/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typ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……………………………</w:t>
            </w:r>
          </w:p>
        </w:tc>
      </w:tr>
      <w:tr w:rsidR="003D2EA4" w14:paraId="41007FAC" w14:textId="77777777" w:rsidTr="003527CB">
        <w:tblPrEx>
          <w:jc w:val="center"/>
        </w:tblPrEx>
        <w:trPr>
          <w:cantSplit/>
          <w:trHeight w:val="300"/>
          <w:tblHeader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29F57CD" w14:textId="77777777" w:rsidR="003D2EA4" w:rsidRDefault="003D2EA4" w:rsidP="003527CB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5F806F3" w14:textId="77777777" w:rsidR="003D2EA4" w:rsidRDefault="003D2EA4" w:rsidP="003527CB">
            <w:pPr>
              <w:jc w:val="center"/>
            </w:pP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Minimalne parametry wymagane przez Zamawiającego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72F69F5" w14:textId="77777777" w:rsidR="003D2EA4" w:rsidRDefault="003D2EA4" w:rsidP="003527CB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3D2EA4" w14:paraId="29D26C42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B2EAEA5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 (parametry minimalne)</w:t>
            </w:r>
          </w:p>
        </w:tc>
        <w:tc>
          <w:tcPr>
            <w:tcW w:w="588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EEBC84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LCD typu IPS, 15,5-16,1”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, powłoka antyrefleksyjna matowa,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rozdzielczość 1920x1080 (proporcje ekranu 16:9) lub 1920x1200 (proporcje ekranu 16:10)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, min. 400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nits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o kącie widzenia w poziomie co najmniej +/- 80 stopni i kącie widzenia w pionie co najmniej +/- 80 stopni.</w:t>
            </w:r>
          </w:p>
        </w:tc>
        <w:tc>
          <w:tcPr>
            <w:tcW w:w="63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C30638" w14:textId="77777777" w:rsidR="003D2EA4" w:rsidRDefault="003D2EA4" w:rsidP="003527CB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5CC58910" w14:textId="77777777" w:rsidTr="003527CB">
        <w:tblPrEx>
          <w:jc w:val="center"/>
        </w:tblPrEx>
        <w:trPr>
          <w:cantSplit/>
          <w:trHeight w:val="975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88FF89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6419AAB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Procesor klasy x86, dedykowany do pracy w komputerach przenośnych, zaprojektowany do pracy w układach jednoprocesorowych, wyposażony w dedykowany układ NPU (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Neural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Processing Unit), osiągający w teście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Passmark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CPU Mark zawartym na stronie internetowej </w:t>
            </w:r>
            <w:hyperlink r:id="rId8">
              <w:r>
                <w:rPr>
                  <w:rStyle w:val="Hipercze1"/>
                  <w:rFonts w:ascii="Bahnschrift" w:eastAsia="Bahnschrift" w:hAnsi="Bahnschrift" w:cs="Bahnschrift"/>
                  <w:color w:val="auto"/>
                  <w:sz w:val="16"/>
                  <w:szCs w:val="16"/>
                </w:rPr>
                <w:t>www.cpubenchmark.net</w:t>
              </w:r>
            </w:hyperlink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min. 24600 pkt.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DD760B8" w14:textId="77777777" w:rsidR="003D2EA4" w:rsidRDefault="003D2EA4" w:rsidP="003527CB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Producent:</w:t>
            </w:r>
          </w:p>
          <w:p w14:paraId="7AA6616F" w14:textId="77777777" w:rsidR="003D2EA4" w:rsidRDefault="003D2EA4" w:rsidP="003527CB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Model:</w:t>
            </w:r>
          </w:p>
          <w:p w14:paraId="5BF4E36C" w14:textId="77777777" w:rsidR="003D2EA4" w:rsidRDefault="003D2EA4" w:rsidP="003527CB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Osiągający w teście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CPU Mark (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CPU Mark) zawartym na stronie internetowej </w:t>
            </w:r>
            <w:hyperlink r:id="rId9">
              <w:r>
                <w:rPr>
                  <w:rStyle w:val="Hipercze1"/>
                  <w:rFonts w:ascii="Bahnschrift" w:hAnsi="Bahnschrift" w:cs="Tahoma"/>
                  <w:color w:val="auto"/>
                  <w:sz w:val="16"/>
                  <w:szCs w:val="16"/>
                  <w:lang w:eastAsia="en-US" w:bidi="ar-SA"/>
                </w:rPr>
                <w:t>www.cpubenchmark.net</w:t>
              </w:r>
            </w:hyperlink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 ….. punktów na dzień: …………</w:t>
            </w:r>
          </w:p>
        </w:tc>
      </w:tr>
      <w:tr w:rsidR="003D2EA4" w14:paraId="435E777D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1281B0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 (minimum)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A2C5AD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Min. 32 GB z możliwością rozbudowy do 64 GB, rodzaj pamięci min. DDR5.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wyposażony w min. 2 gniazda pamięci RAM min. DDR5 obsługujące pamięci z taktowaniem co najmniej do 5600 MHz, w tym min. 1 gniazdo niezajęte przez kość pamięci RAM.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862C4D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2CC36051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A1AD772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C7EC82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C904A1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41B3E944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E52D65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AF6D746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SSD M.2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NVMe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PCIe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4.0x4 lub szybszy o pojemności min. 2 TB.</w:t>
            </w:r>
          </w:p>
          <w:p w14:paraId="5AAD6D52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Notebook wyposażony w min. 2 gniazda na dyski SSD M.2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NVMe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PCIe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4.0x4 lub szybsze o długości 2280, w tym min. 1 gniazdo niezajęte przez dysk SSD.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A47DB46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121AB6CB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E08B191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E90D5AE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Zamawiający nie wymaga, aby notebook był wyposażony w napęd optyczny.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622B0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3EFE2462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5E34325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939B2A" w14:textId="77777777" w:rsidR="003D2EA4" w:rsidRPr="0071799E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 zintegrowana w procesorze.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BB460FE" w14:textId="77777777" w:rsidR="003D2EA4" w:rsidRPr="0071799E" w:rsidRDefault="003D2EA4" w:rsidP="003527CB">
            <w:pPr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Producent: </w:t>
            </w:r>
          </w:p>
          <w:p w14:paraId="41F9B5BB" w14:textId="77777777" w:rsidR="003D2EA4" w:rsidRPr="0071799E" w:rsidRDefault="003D2EA4" w:rsidP="003527CB">
            <w:pPr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Model: </w:t>
            </w:r>
          </w:p>
          <w:p w14:paraId="23BDAF63" w14:textId="77777777" w:rsidR="003D2EA4" w:rsidRDefault="003D2EA4" w:rsidP="003527CB">
            <w:pPr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Osiągająca w teście </w:t>
            </w:r>
            <w:proofErr w:type="spellStart"/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 w:rsidRPr="0071799E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www.videocardbenchmark.net  .…..  punktów na dzień: …………</w:t>
            </w:r>
          </w:p>
        </w:tc>
      </w:tr>
      <w:tr w:rsidR="003D2EA4" w14:paraId="6F99036F" w14:textId="77777777" w:rsidTr="003527CB">
        <w:tblPrEx>
          <w:jc w:val="center"/>
        </w:tblPrEx>
        <w:trPr>
          <w:cantSplit/>
          <w:trHeight w:val="183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6C69F04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Karta graficzna niezintegrowana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CF2701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Chipset niezintegrowanej karty graficznej osiągający w teście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Passmark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 (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average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G3D Mark) zawartym na stronie internetowej </w:t>
            </w:r>
            <w:hyperlink r:id="rId10">
              <w:r>
                <w:rPr>
                  <w:rStyle w:val="Hipercze1"/>
                  <w:rFonts w:ascii="Bahnschrift" w:hAnsi="Bahnschrift" w:cs="Tahoma"/>
                  <w:color w:val="auto"/>
                  <w:sz w:val="16"/>
                  <w:szCs w:val="16"/>
                  <w:lang w:eastAsia="en-US" w:bidi="ar-SA"/>
                </w:rPr>
                <w:t>www.videocardbenchmark.net</w:t>
              </w:r>
            </w:hyperlink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minimum 11000 punktów.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18474D" w14:textId="77777777" w:rsidR="003D2EA4" w:rsidRDefault="003D2EA4" w:rsidP="003527CB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68742B37" w14:textId="77777777" w:rsidR="003D2EA4" w:rsidRDefault="003D2EA4" w:rsidP="003527CB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4BAAB971" w14:textId="77777777" w:rsidR="003D2EA4" w:rsidRPr="00072847" w:rsidRDefault="003D2EA4" w:rsidP="003527CB">
            <w:pPr>
              <w:widowControl/>
              <w:snapToGrid w:val="0"/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  <w:r>
              <w:rPr>
                <w:rFonts w:ascii="Bahnschrift" w:hAnsi="Bahnschrift" w:cs="Arial"/>
                <w:sz w:val="16"/>
                <w:szCs w:val="16"/>
              </w:rPr>
              <w:t xml:space="preserve">Osiągająca w teście </w:t>
            </w:r>
            <w:proofErr w:type="spellStart"/>
            <w:r>
              <w:rPr>
                <w:rFonts w:ascii="Bahnschrift" w:hAnsi="Bahnschrift" w:cs="Arial"/>
                <w:sz w:val="16"/>
                <w:szCs w:val="16"/>
              </w:rPr>
              <w:t>Passmark</w:t>
            </w:r>
            <w:proofErr w:type="spellEnd"/>
            <w:r>
              <w:rPr>
                <w:rFonts w:ascii="Bahnschrift" w:hAnsi="Bahnschrift" w:cs="Arial"/>
                <w:sz w:val="16"/>
                <w:szCs w:val="16"/>
              </w:rPr>
              <w:t xml:space="preserve"> G3D Mark (</w:t>
            </w:r>
            <w:proofErr w:type="spellStart"/>
            <w:r>
              <w:rPr>
                <w:rFonts w:ascii="Bahnschrift" w:hAnsi="Bahnschrift" w:cs="Arial"/>
                <w:sz w:val="16"/>
                <w:szCs w:val="16"/>
              </w:rPr>
              <w:t>average</w:t>
            </w:r>
            <w:proofErr w:type="spellEnd"/>
            <w:r>
              <w:rPr>
                <w:rFonts w:ascii="Bahnschrift" w:hAnsi="Bahnschrift" w:cs="Arial"/>
                <w:sz w:val="16"/>
                <w:szCs w:val="16"/>
              </w:rPr>
              <w:t xml:space="preserve"> G3D Mark) zawartym na stronie internetowej </w:t>
            </w:r>
            <w:hyperlink r:id="rId11">
              <w:r>
                <w:rPr>
                  <w:rStyle w:val="Hipercze1"/>
                  <w:rFonts w:ascii="Bahnschrift" w:hAnsi="Bahnschrift" w:cs="Arial"/>
                  <w:color w:val="auto"/>
                  <w:sz w:val="16"/>
                  <w:szCs w:val="16"/>
                </w:rPr>
                <w:t>www.videocardbenchmark.net</w:t>
              </w:r>
            </w:hyperlink>
            <w:r>
              <w:rPr>
                <w:rFonts w:ascii="Bahnschrift" w:hAnsi="Bahnschrift" w:cs="Arial"/>
                <w:sz w:val="16"/>
                <w:szCs w:val="16"/>
              </w:rPr>
              <w:t xml:space="preserve">  .…..  punktów na dzień: …………</w:t>
            </w:r>
          </w:p>
        </w:tc>
      </w:tr>
      <w:tr w:rsidR="003D2EA4" w14:paraId="43609325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C259BEE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DBD4CD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7F800E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21E58E0F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AF9C83B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Głośniki lub głośnik, mikrofon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B837ED1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Wbudowane głośniki stereo min. 2 x 2 W, wbudowane min. dwa mikrofony, sterowanie głośnością głośników za pośrednictwem wydzielonych klawiszy funkcyjnych na klawiaturze.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EA4C34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0D29AD78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E879F8D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 wbudowana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400D6B7" w14:textId="77777777" w:rsidR="003D2EA4" w:rsidRDefault="003D2EA4" w:rsidP="003527CB">
            <w:pPr>
              <w:widowControl/>
              <w:spacing w:before="40" w:after="40"/>
              <w:jc w:val="both"/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10/100/1000 Ethernet RJ45 zintegrowana z notebookiem.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F39F2F0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064D8AA1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2F084A0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1CB229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WLAN 802.11a/b/g/n/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ac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/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ax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7EBA609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0FD7D26C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7CBF06B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5D31FFA" w14:textId="77777777" w:rsidR="003D2EA4" w:rsidRDefault="003D2EA4" w:rsidP="003527CB">
            <w:pPr>
              <w:widowControl/>
              <w:spacing w:before="40" w:after="40"/>
              <w:jc w:val="both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 moduł Bluetooth min. 5.3.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F7E6AE6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268A975C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5B03D0B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 (minimum)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22B799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1080p HD z funkcją zasłaniania obiektywu.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EA31F1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5B9A7D08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DDD6FBA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(minimum)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313FB1A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 w:rsidRPr="00F857E4">
              <w:rPr>
                <w:rFonts w:ascii="Bahnschrift" w:eastAsia="Bahnschrift" w:hAnsi="Bahnschrift" w:cs="Bahnschrift"/>
                <w:bCs/>
                <w:sz w:val="16"/>
                <w:szCs w:val="16"/>
              </w:rPr>
              <w:t>2 x</w:t>
            </w:r>
            <w:r w:rsidRPr="00F857E4">
              <w:rPr>
                <w:rFonts w:ascii="Bahnschrift" w:eastAsia="Bahnschrift" w:hAnsi="Bahnschrift" w:cs="Bahnschrift"/>
                <w:sz w:val="16"/>
                <w:szCs w:val="16"/>
              </w:rPr>
              <w:t xml:space="preserve">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USB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Type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-A 5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Gbps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lub szybszy (z czego 1 typu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Always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On).</w:t>
            </w:r>
          </w:p>
          <w:p w14:paraId="5094E7B1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2 x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Thunderbolt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4 lub szybszy (zgodny z USB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Type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>-C).</w:t>
            </w:r>
          </w:p>
          <w:p w14:paraId="7B894392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HDMI 2.1 lub nowszy.</w:t>
            </w:r>
          </w:p>
          <w:p w14:paraId="5BF222CF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1 x złącze słuchawek i mikrofonu typu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combo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>.</w:t>
            </w:r>
          </w:p>
          <w:p w14:paraId="732E5941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10/100/1000 Ethernet RJ45.</w:t>
            </w:r>
          </w:p>
          <w:p w14:paraId="54230EB2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  <w:lang w:val="en-US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1 x czytnik kart multimedialnych (min. SD, SDHC, SDXC lub min. </w:t>
            </w:r>
            <w:r>
              <w:rPr>
                <w:rFonts w:ascii="Bahnschrift" w:eastAsia="Bahnschrift" w:hAnsi="Bahnschrift" w:cs="Bahnschrift"/>
                <w:sz w:val="16"/>
                <w:szCs w:val="16"/>
                <w:lang w:val="en-US"/>
              </w:rPr>
              <w:t>Micro SD, Micro SDHC, Micro SDXC).</w:t>
            </w:r>
          </w:p>
          <w:p w14:paraId="5FF794B5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Notebook zasilany przez złącze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Thunderbolt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(Zamawiający dopuszcza wykorzystanie w tym celu 1 z w/w złączy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Thunderbolt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>) lub przez dedykowane złącze zasilające.</w:t>
            </w:r>
          </w:p>
          <w:p w14:paraId="3810DFFC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Niezależnie od tego, czy notebook jest wyposażony w dedykowane złącze zasilające, musi istnieć możliwość zasilenia notebooka poprzez wyłącznie wbudowane w niego złącze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Thunderbolt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(z wykorzystaniem np. stacji dokującej).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6DA687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7326DFBD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0BB7CA3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BIOS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3A96629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BIOS zgodny ze specyfikacją UEFI, pełna obsługa za pomocą klawiatury i myszki.</w:t>
            </w:r>
          </w:p>
          <w:p w14:paraId="54C110C7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Możliwość, bez uruchamiania systemu operacyjnego z dysku twardego komputera lub innych, podłączonych do niego urządzeń zewnętrznych odczytania z BIOS informacji o: wersji BIOS, numerze seryjnym komputera,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ilości pamięci RAM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typie procesora.</w:t>
            </w:r>
          </w:p>
          <w:p w14:paraId="0DAD92FD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Funkcja blokowania/odblokowania BOOT-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zewnętrznych urządzeń.</w:t>
            </w:r>
          </w:p>
          <w:p w14:paraId="56ECAE94" w14:textId="77777777" w:rsidR="003D2EA4" w:rsidRPr="007D673F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Funkcja </w:t>
            </w:r>
            <w:r w:rsidRPr="007D673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blokowania/odblokowania BOOT-</w:t>
            </w:r>
            <w:proofErr w:type="spellStart"/>
            <w:r w:rsidRPr="007D673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owania</w:t>
            </w:r>
            <w:proofErr w:type="spellEnd"/>
            <w:r w:rsidRPr="007D673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z USB.</w:t>
            </w:r>
          </w:p>
          <w:p w14:paraId="50F24638" w14:textId="77777777" w:rsidR="003D2EA4" w:rsidRPr="007D673F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D673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Możliwość, bez uruchamiania systemu operacyjnego z dysku twardego komputera lub innych, podłączonych do niego urządzeń zewnętrznych, ustawienia hasła na poziomie użytkownika, administratora oraz dysku twardego.</w:t>
            </w:r>
          </w:p>
          <w:p w14:paraId="797CC61B" w14:textId="77777777" w:rsidR="003D2EA4" w:rsidRPr="007D673F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7D673F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BIOS.</w:t>
            </w:r>
          </w:p>
          <w:p w14:paraId="42C8EC00" w14:textId="77777777" w:rsidR="003D2EA4" w:rsidRDefault="003D2EA4" w:rsidP="003527CB">
            <w:pPr>
              <w:widowControl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Możliwość wyłączenia/włączenia: portów USB, mikrofonu, kamery, WLAN, Bluetooth z poziomu BIOS, bez uruchamiania systemu operacyjnego z dysku twardego komputera lub innych, podłączonych do niego, urządzeń zewnętrznych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(zapis nie dotyczy podzespołów, które nie są wbudowane w notebooka).</w:t>
            </w:r>
          </w:p>
          <w:p w14:paraId="31128EF2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Możliwość włączenia/wyłączenia funkcjonalności Wake On LAN.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02B6AD" w14:textId="77777777" w:rsidR="003D2EA4" w:rsidRDefault="003D2EA4" w:rsidP="003527CB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01A04C09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5624E25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Klawiatura i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</w:t>
            </w:r>
            <w:proofErr w:type="spellEnd"/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5CBE48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Układ US QWERTY, z wbudowanym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touchpadem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do obsługi wskaźnika myszy, wyposażona w podświetlenie oraz blok klawiszy numerycznych.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BFC85A7" w14:textId="77777777" w:rsidR="003D2EA4" w:rsidRDefault="003D2EA4" w:rsidP="003527CB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356F6469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D91AC1D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(minimum)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4D33D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Bateria o pojemności co najmniej 70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Wh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A8B687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1821DE30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D6BE44B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F21C40B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Właściwy dla komputera, złącze zasilania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Thunderbolt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lub dedykowane złącze zasilające, moc zasilacza minimum 130 W.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D6AE00B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55B25C10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655A942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System operacyjny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F4B304D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musi posiadać zainstalowany fabrycznie system operacyjny Microsoft Windows 11 Professional 64 bit lub nowszy w wersji językowej polskiej, lub system operacyjny równoważny w zakresie funkcjonalności systemu opisanej przez producenta oprogramowania i jego współpracy ze środowiskiem produktów Microsoft oraz o takich samych bądź korzystniejszych postanowieniach licencyjnych dotyczących dozwolonego użytku w sektorze akademickim i komercyjnym.</w:t>
            </w:r>
          </w:p>
          <w:p w14:paraId="0288E653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System operacyjny musi być fabrycznie nowy, nieużywany i nieaktywowany nigdy wcześniej na innym urządzeniu, oraz musi pochodzić z legalnego źródła sprzedaży.</w:t>
            </w:r>
          </w:p>
          <w:p w14:paraId="58F8A471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Jeżeli licencja na system operacyjny obejmuje naklejkę hologramową z kluczem, naklejka ta winna być zabezpieczona przed możliwością odczytania klucza za pomocą zabezpieczeń stosowanych przez producenta.</w:t>
            </w:r>
          </w:p>
          <w:p w14:paraId="55C955EC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Klucz licencyjny systemu operacyjnego musi być trwale zapisany w pamięci BIOS.</w:t>
            </w:r>
          </w:p>
          <w:p w14:paraId="27F22B88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Dopuszczalna aktywacja systemu operacyjnego przez użytkownika przez Internet.</w:t>
            </w:r>
          </w:p>
          <w:p w14:paraId="107CD05C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Dołączony nośnik z oprogramowaniem lub inne rozwiązanie do odtworzenia systemu, w konfiguracji właściwej dla danego modelu.</w:t>
            </w:r>
          </w:p>
          <w:p w14:paraId="1F5205A2" w14:textId="77777777" w:rsidR="003D2EA4" w:rsidRDefault="003D2EA4" w:rsidP="003527CB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musi być w pełni zgodny z zaoferowanym systemem operacyjnym.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8AED1C6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7649DEAE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682C86D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24FC5AE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Udostępniane na stronie WWW producenta notebooka pliki z najnowszymi właściwymi dla danego notebooka sterownikami, uaktualnieniami oprogramowania układowego i aktualizacjami preinstalowanych programów pochodzących od producenta notebooka; dostęp do plików możliwy w szczególności poprzez podanie na tej stronie WWW numeru seryjnego lub modelu notebooka.</w:t>
            </w:r>
          </w:p>
          <w:p w14:paraId="595F7402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Instalowane na notebooku oprogramowanie producenta notebooka, które może na żądanie bądź automatycznie pobierać i instalować najnowsze właściwe dla danego notebooka sterowniki, uaktualnienia oprogramowania układowego i aktualizacje preinstalowanych programów pochodzących od producenta notebooka.</w:t>
            </w:r>
          </w:p>
          <w:p w14:paraId="3DF25BBA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 odtwarzania oryginalnego stanu systemu operacyjnego.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5B5B0BC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3D2EA4" w14:paraId="1F7968B1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AF0B6DF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FA42DA7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Certyfikat ISO9001:2008 dla producenta sprzętu lub równoważny.</w:t>
            </w:r>
          </w:p>
          <w:p w14:paraId="687832B0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Deklaracja zgodności CE.</w:t>
            </w:r>
          </w:p>
          <w:p w14:paraId="663D6DAA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Potwierdzenie spełnienia kryteriów środowiskowych, w tym zgodności z dyrektywą 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RoHS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Unii Europejskiej o eliminacji substancji niebezpiecznych.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DA509E4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3D2EA4" w14:paraId="47290145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FB20141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System diagnostyczny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AE6E1DF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 umożliwiający na wykonanie diagnostyki następujących podzespołów:</w:t>
            </w:r>
          </w:p>
          <w:p w14:paraId="4673F7E3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pamięci RAM </w:t>
            </w:r>
          </w:p>
          <w:p w14:paraId="69F98B11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CPU</w:t>
            </w:r>
          </w:p>
          <w:p w14:paraId="2558EF95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dysku twardego</w:t>
            </w:r>
          </w:p>
          <w:p w14:paraId="5FEBE9E3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78A398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3D2EA4" w14:paraId="59D5C118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B228212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5E4A363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 komputera wykonana z materiałów o podwyższonej odporności na uszkodzenia mechaniczne oraz przystosowana do pracy w trudnych warunkach termicznych, charakteryzująca się wzmocnioną konstrukcją.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F5CE54E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3D2EA4" w14:paraId="3C820FBC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85D94F3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Waga (maksymalna w zaoferowanej konfiguracji)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928294F" w14:textId="77777777" w:rsidR="003D2EA4" w:rsidRDefault="003D2EA4" w:rsidP="003527CB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Max. 2,6 kg.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4C59F6E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749F3D69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4A271CA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4520F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Komputer wyposażony w moduł TPM 2.0, czytnik linii papilarnych, czytnik Smart Card i zbliżeniowy moduł NFC, złącze antykradzieżowe – możliwość zabezpieczenia linką metalową. Dysk stały SSD wspierający technologię szybkiego i bezpowrotnego usunięcia danych z dysku funkcjonalność realizowana w BIOS zaoferowanego komputera.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FCF712" w14:textId="77777777" w:rsidR="003D2EA4" w:rsidRDefault="003D2EA4" w:rsidP="003527CB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3D2EA4" w14:paraId="0CFADD7A" w14:textId="77777777" w:rsidTr="003527CB">
        <w:tblPrEx>
          <w:jc w:val="center"/>
        </w:tblPrEx>
        <w:trPr>
          <w:cantSplit/>
          <w:trHeight w:val="30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C03D71D" w14:textId="77777777" w:rsidR="003D2EA4" w:rsidRDefault="003D2EA4" w:rsidP="003527CB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A6031A6" w14:textId="648794A6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Ś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wiadczona w miejscu użytkowania sprzętu (on-</w:t>
            </w:r>
            <w:proofErr w:type="spellStart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site</w:t>
            </w:r>
            <w:proofErr w:type="spellEnd"/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).</w:t>
            </w:r>
          </w:p>
          <w:p w14:paraId="1D6C21B5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Możliwość weryfikacji na stronie producenta konfiguracji fabrycznej zakupionego sprzętu. </w:t>
            </w:r>
          </w:p>
          <w:p w14:paraId="5855D373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Możliwość weryfikacji na stronie producenta posiadanej/wykupionej gwarancji.</w:t>
            </w:r>
          </w:p>
          <w:p w14:paraId="6F9DD38B" w14:textId="77777777" w:rsidR="003D2EA4" w:rsidRDefault="003D2EA4" w:rsidP="003527CB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Naprawy gwarancyjne urządzeń muszą być realizowane w Polsce przez Producenta lub Autoryzowanego Partnera Serwisowego Producenta.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4C96380" w14:textId="77777777" w:rsidR="003D2EA4" w:rsidRDefault="003D2EA4" w:rsidP="003527CB">
            <w:pPr>
              <w:widowControl/>
              <w:rPr>
                <w:rFonts w:ascii="Bahnschrift" w:hAnsi="Bahnschrift"/>
              </w:rPr>
            </w:pPr>
          </w:p>
        </w:tc>
      </w:tr>
    </w:tbl>
    <w:p w14:paraId="79860A7F" w14:textId="471A2E59" w:rsidR="004B112F" w:rsidRDefault="004017D5">
      <w:r>
        <w:t xml:space="preserve"> </w:t>
      </w:r>
    </w:p>
    <w:tbl>
      <w:tblPr>
        <w:tblW w:w="14152" w:type="dxa"/>
        <w:jc w:val="center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634"/>
        <w:gridCol w:w="5856"/>
        <w:gridCol w:w="6662"/>
      </w:tblGrid>
      <w:tr w:rsidR="004B112F" w14:paraId="079681FE" w14:textId="77777777">
        <w:trPr>
          <w:cantSplit/>
          <w:trHeight w:val="300"/>
          <w:tblHeader/>
          <w:jc w:val="center"/>
        </w:trPr>
        <w:tc>
          <w:tcPr>
            <w:tcW w:w="14152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4DA7A5" w14:textId="51BFF26A" w:rsidR="004B112F" w:rsidRDefault="00AF7FE0">
            <w:pPr>
              <w:pageBreakBefore/>
              <w:widowControl/>
              <w:spacing w:after="40" w:line="480" w:lineRule="auto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lastRenderedPageBreak/>
              <w:t>Stacja dokująca, ilość – 30 sztuk</w:t>
            </w:r>
          </w:p>
          <w:p w14:paraId="0C252203" w14:textId="77777777" w:rsidR="004B112F" w:rsidRDefault="00AF7FE0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Producent ………………… model/typ ……………………………</w:t>
            </w:r>
          </w:p>
        </w:tc>
      </w:tr>
      <w:tr w:rsidR="004B112F" w14:paraId="507D9816" w14:textId="77777777">
        <w:trPr>
          <w:cantSplit/>
          <w:trHeight w:val="300"/>
          <w:tblHeader/>
          <w:jc w:val="center"/>
        </w:trPr>
        <w:tc>
          <w:tcPr>
            <w:tcW w:w="163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405A9E4" w14:textId="77777777" w:rsidR="004B112F" w:rsidRDefault="00AF7FE0">
            <w:pPr>
              <w:widowControl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85367A5" w14:textId="77777777" w:rsidR="004B112F" w:rsidRDefault="00AF7FE0">
            <w:pPr>
              <w:widowControl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Oferowane parametry techniczne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2BBFA4A" w14:textId="77777777" w:rsidR="004B112F" w:rsidRDefault="00AF7FE0">
            <w:pPr>
              <w:widowControl/>
              <w:snapToGrid w:val="0"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4B112F" w14:paraId="4343A5DF" w14:textId="77777777">
        <w:trPr>
          <w:cantSplit/>
          <w:trHeight w:val="1830"/>
          <w:jc w:val="center"/>
        </w:trPr>
        <w:tc>
          <w:tcPr>
            <w:tcW w:w="16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D406E76" w14:textId="77777777" w:rsidR="004B112F" w:rsidRDefault="00AF7FE0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BDAA958" w14:textId="77777777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DC-in (wejście zasilania) - 1 szt.</w:t>
            </w:r>
          </w:p>
          <w:p w14:paraId="407A05C6" w14:textId="4A034336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USB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Type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-A 5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Gbps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lub szybszy – min. </w:t>
            </w:r>
            <w:r w:rsidR="0078391C">
              <w:rPr>
                <w:rFonts w:ascii="Bahnschrift" w:eastAsia="Bahnschrift" w:hAnsi="Bahnschrift" w:cs="Bahnschrift"/>
                <w:sz w:val="16"/>
                <w:szCs w:val="16"/>
              </w:rPr>
              <w:t>3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szt.</w:t>
            </w:r>
          </w:p>
          <w:p w14:paraId="243C60A9" w14:textId="77777777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USB Type-C 10 Gbps lub szybszy – min. 1 szt.</w:t>
            </w:r>
          </w:p>
          <w:p w14:paraId="3B55042B" w14:textId="77777777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Odrębny dedykowany port Thunderbolt 4 lub szybszy (bądź odrębny dedykowany port USB Type-C 10 Gbps lub szybszy), służący jednocześnie do podłączenia stacji dokującej do notebooka oraz do zasilania notebooka – 1 szt.</w:t>
            </w:r>
          </w:p>
          <w:p w14:paraId="478DB81E" w14:textId="77777777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10/100/1000 Ethernet RJ45 – min 1 szt.</w:t>
            </w:r>
          </w:p>
          <w:p w14:paraId="22DD3037" w14:textId="77777777" w:rsidR="004B112F" w:rsidRDefault="00AF7FE0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DisplayPort 1.4 lub nowszy – min. 2 szt.</w:t>
            </w:r>
          </w:p>
          <w:p w14:paraId="1A8F753D" w14:textId="77777777" w:rsidR="004B112F" w:rsidRDefault="00AF7FE0">
            <w:pPr>
              <w:widowControl/>
              <w:spacing w:before="40"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HDMI 2.0 lub nowszy – min. 1 szt.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91750A" w14:textId="77777777" w:rsidR="004B112F" w:rsidRDefault="004B112F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4B112F" w14:paraId="0E31C574" w14:textId="77777777">
        <w:trPr>
          <w:cantSplit/>
          <w:trHeight w:val="300"/>
          <w:jc w:val="center"/>
        </w:trPr>
        <w:tc>
          <w:tcPr>
            <w:tcW w:w="16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53F406B" w14:textId="77777777" w:rsidR="004B112F" w:rsidRDefault="00AF7FE0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Zasilanie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6970BA2" w14:textId="77777777" w:rsidR="004B112F" w:rsidRDefault="00AF7FE0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Sieciowe dla terytorium Polski, moc zasilacza co najmniej 180 W, ładowanie notebooka z mocą co najmniej do 130 W.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BA6199F" w14:textId="77777777" w:rsidR="004B112F" w:rsidRDefault="004B112F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4B112F" w14:paraId="48601C72" w14:textId="77777777">
        <w:trPr>
          <w:cantSplit/>
          <w:trHeight w:val="300"/>
          <w:jc w:val="center"/>
        </w:trPr>
        <w:tc>
          <w:tcPr>
            <w:tcW w:w="16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6709AB4" w14:textId="77777777" w:rsidR="004B112F" w:rsidRDefault="00AF7FE0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Kompatybilność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8EBC1A2" w14:textId="77777777" w:rsidR="004B112F" w:rsidRDefault="00AF7FE0">
            <w:pPr>
              <w:widowControl/>
              <w:jc w:val="both"/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Z oferowanym komputerem oraz z systemami operacyjnymi z rodziny Microsoft Windows 11.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704051" w14:textId="77777777" w:rsidR="004B112F" w:rsidRDefault="004B112F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4B112F" w14:paraId="42DC3398" w14:textId="77777777">
        <w:trPr>
          <w:cantSplit/>
          <w:trHeight w:val="300"/>
          <w:jc w:val="center"/>
        </w:trPr>
        <w:tc>
          <w:tcPr>
            <w:tcW w:w="163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302405" w14:textId="77777777" w:rsidR="004B112F" w:rsidRDefault="00AF7FE0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Zabezpieczenie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3E2AF28" w14:textId="77777777" w:rsidR="004B112F" w:rsidRDefault="00AF7FE0">
            <w:pPr>
              <w:widowControl/>
              <w:spacing w:before="40" w:after="40"/>
              <w:jc w:val="both"/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Złącze antykradzieżowe - możliwość zabezpieczenia linką metalową.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A66551D" w14:textId="77777777" w:rsidR="004B112F" w:rsidRDefault="004B112F">
            <w:pPr>
              <w:widowControl/>
              <w:rPr>
                <w:rFonts w:ascii="Bahnschrift" w:hAnsi="Bahnschrift"/>
              </w:rPr>
            </w:pPr>
          </w:p>
        </w:tc>
      </w:tr>
    </w:tbl>
    <w:p w14:paraId="0EF99E05" w14:textId="77777777" w:rsidR="004B112F" w:rsidRDefault="004B112F">
      <w:pPr>
        <w:rPr>
          <w:rFonts w:ascii="Lato;sans-serif" w:hAnsi="Lato;sans-serif" w:hint="eastAsia"/>
          <w:b/>
          <w:bCs/>
          <w:sz w:val="18"/>
          <w:szCs w:val="18"/>
        </w:rPr>
      </w:pPr>
    </w:p>
    <w:sectPr w:rsidR="004B112F" w:rsidSect="004017D5">
      <w:headerReference w:type="default" r:id="rId12"/>
      <w:footerReference w:type="default" r:id="rId13"/>
      <w:pgSz w:w="16838" w:h="11906" w:orient="landscape"/>
      <w:pgMar w:top="1417" w:right="1417" w:bottom="1276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5A1A" w14:textId="77777777" w:rsidR="00047DBC" w:rsidRDefault="00047DBC">
      <w:r>
        <w:separator/>
      </w:r>
    </w:p>
  </w:endnote>
  <w:endnote w:type="continuationSeparator" w:id="0">
    <w:p w14:paraId="7902A7E0" w14:textId="77777777" w:rsidR="00047DBC" w:rsidRDefault="0004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;sans-serif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995" w:type="dxa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4B112F" w14:paraId="20DAE89F" w14:textId="77777777">
      <w:trPr>
        <w:trHeight w:val="300"/>
      </w:trPr>
      <w:tc>
        <w:tcPr>
          <w:tcW w:w="4665" w:type="dxa"/>
        </w:tcPr>
        <w:p w14:paraId="42B4570A" w14:textId="77777777" w:rsidR="004B112F" w:rsidRDefault="004B112F">
          <w:pPr>
            <w:pStyle w:val="Nagwek"/>
            <w:ind w:left="-115"/>
          </w:pPr>
        </w:p>
      </w:tc>
      <w:tc>
        <w:tcPr>
          <w:tcW w:w="4665" w:type="dxa"/>
        </w:tcPr>
        <w:p w14:paraId="1B7C00FD" w14:textId="77777777" w:rsidR="004B112F" w:rsidRDefault="004B112F">
          <w:pPr>
            <w:pStyle w:val="Nagwek"/>
            <w:jc w:val="center"/>
          </w:pPr>
        </w:p>
      </w:tc>
      <w:tc>
        <w:tcPr>
          <w:tcW w:w="4665" w:type="dxa"/>
        </w:tcPr>
        <w:p w14:paraId="7F3EA207" w14:textId="77777777" w:rsidR="004B112F" w:rsidRDefault="004B112F">
          <w:pPr>
            <w:pStyle w:val="Nagwek"/>
            <w:ind w:right="-115"/>
            <w:jc w:val="right"/>
          </w:pPr>
        </w:p>
      </w:tc>
    </w:tr>
  </w:tbl>
  <w:p w14:paraId="091ADBD4" w14:textId="77777777" w:rsidR="004B112F" w:rsidRDefault="004B1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770C2" w14:textId="77777777" w:rsidR="00047DBC" w:rsidRDefault="00047DBC">
      <w:r>
        <w:separator/>
      </w:r>
    </w:p>
  </w:footnote>
  <w:footnote w:type="continuationSeparator" w:id="0">
    <w:p w14:paraId="52511B68" w14:textId="77777777" w:rsidR="00047DBC" w:rsidRDefault="00047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BB09" w14:textId="1C0C133E" w:rsidR="00F507AE" w:rsidRDefault="00F507AE" w:rsidP="00F507AE">
    <w:pPr>
      <w:pStyle w:val="Nagwek"/>
      <w:jc w:val="right"/>
      <w:rPr>
        <w:rFonts w:ascii="Bahnschrift" w:eastAsiaTheme="minorHAnsi" w:hAnsi="Bahnschrift" w:cstheme="minorBidi"/>
        <w:kern w:val="0"/>
        <w:sz w:val="20"/>
        <w:szCs w:val="20"/>
        <w:lang w:eastAsia="en-US"/>
      </w:rPr>
    </w:pPr>
    <w:r>
      <w:rPr>
        <w:rFonts w:ascii="Bahnschrift" w:hAnsi="Bahnschrift"/>
        <w:sz w:val="20"/>
        <w:szCs w:val="20"/>
      </w:rPr>
      <w:t>Załącznik nr 2C do SWZ DZP.382.2.48.2024</w:t>
    </w:r>
  </w:p>
  <w:p w14:paraId="1FA13492" w14:textId="77777777" w:rsidR="004B112F" w:rsidRDefault="004B11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A7AC3"/>
    <w:multiLevelType w:val="multilevel"/>
    <w:tmpl w:val="B68A54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1141113"/>
    <w:multiLevelType w:val="multilevel"/>
    <w:tmpl w:val="75D25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2YyOGZmMzMtOWUzZC00Y2UyLTk5NTQtMTI5NWY1OWRmMmIzIg0KfQ=="/>
    <w:docVar w:name="GVData0" w:val="(end)"/>
  </w:docVars>
  <w:rsids>
    <w:rsidRoot w:val="004B112F"/>
    <w:rsid w:val="00021F75"/>
    <w:rsid w:val="00047DBC"/>
    <w:rsid w:val="00290476"/>
    <w:rsid w:val="003648EE"/>
    <w:rsid w:val="003D2EA4"/>
    <w:rsid w:val="003E5C03"/>
    <w:rsid w:val="004017D5"/>
    <w:rsid w:val="004B112F"/>
    <w:rsid w:val="005A5669"/>
    <w:rsid w:val="005B393D"/>
    <w:rsid w:val="00671E75"/>
    <w:rsid w:val="00771363"/>
    <w:rsid w:val="0078391C"/>
    <w:rsid w:val="007D673F"/>
    <w:rsid w:val="008609D8"/>
    <w:rsid w:val="008B02B7"/>
    <w:rsid w:val="008C317B"/>
    <w:rsid w:val="00A0146C"/>
    <w:rsid w:val="00AF7FE0"/>
    <w:rsid w:val="00CD02AE"/>
    <w:rsid w:val="00CE6BE2"/>
    <w:rsid w:val="00E7755C"/>
    <w:rsid w:val="00F507AE"/>
    <w:rsid w:val="00F553D2"/>
    <w:rsid w:val="00F77C4E"/>
    <w:rsid w:val="00F857E4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6607D"/>
  <w15:docId w15:val="{3E038EA6-5398-4E73-BBDD-C6B3AEE7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C7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rsid w:val="00D67C7C"/>
    <w:rPr>
      <w:color w:val="0563C1" w:themeColor="hyperlink"/>
      <w:u w:val="single"/>
    </w:rPr>
  </w:style>
  <w:style w:type="character" w:customStyle="1" w:styleId="1TableTextZnak">
    <w:name w:val="1Table_Text Znak"/>
    <w:link w:val="1TableText"/>
    <w:qFormat/>
    <w:locked/>
    <w:rsid w:val="00D67C7C"/>
    <w:rPr>
      <w:rFonts w:ascii="Cambria" w:eastAsia="Calibri" w:hAnsi="Cambria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yteHipercze">
    <w:name w:val="FollowedHyperlink"/>
    <w:basedOn w:val="Domylnaczcionkaakapitu"/>
    <w:uiPriority w:val="99"/>
    <w:semiHidden/>
    <w:unhideWhenUsed/>
    <w:rsid w:val="008A294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F06D7"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1TableText">
    <w:name w:val="1Table_Text"/>
    <w:link w:val="1TableTextZnak"/>
    <w:qFormat/>
    <w:rsid w:val="00D67C7C"/>
    <w:pPr>
      <w:keepLines/>
      <w:tabs>
        <w:tab w:val="left" w:pos="2268"/>
      </w:tabs>
      <w:spacing w:before="60" w:after="60"/>
    </w:pPr>
    <w:rPr>
      <w:rFonts w:ascii="Cambria" w:hAnsi="Cambri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B02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2B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2B7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2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2B7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2B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2B7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eocardbenchmark.ne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ideocard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FADFF-52B7-4D9D-BA71-C4B40EAA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Ludwikowski</cp:lastModifiedBy>
  <cp:revision>19</cp:revision>
  <dcterms:created xsi:type="dcterms:W3CDTF">2024-10-28T08:45:00Z</dcterms:created>
  <dcterms:modified xsi:type="dcterms:W3CDTF">2024-12-11T10:06:00Z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ew0KICAiZG9jSUQiOiAiY2YyOGZmMzMtOWUzZC00Y2UyLTk5NTQtMTI5NWY1OWRmMmIzIg0KfQ==</vt:lpwstr>
  </property>
  <property fmtid="{D5CDD505-2E9C-101B-9397-08002B2CF9AE}" pid="3" name="GVData0">
    <vt:lpwstr>(end)</vt:lpwstr>
  </property>
</Properties>
</file>