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2BB69" w14:textId="77777777" w:rsidR="00143264" w:rsidRDefault="003E5D93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  <w:r>
        <w:rPr>
          <w:rFonts w:ascii="Bahnschrift" w:hAnsi="Bahnschrift" w:cs="Tahoma"/>
          <w:b/>
          <w:sz w:val="28"/>
          <w:szCs w:val="28"/>
          <w:lang w:eastAsia="en-US" w:bidi="ar-SA"/>
        </w:rPr>
        <w:t>Opis przedmiotu zamówienia</w:t>
      </w:r>
    </w:p>
    <w:p w14:paraId="02CC8211" w14:textId="77777777" w:rsidR="00143264" w:rsidRDefault="003E5D93">
      <w:pPr>
        <w:widowControl/>
        <w:spacing w:after="200" w:line="276" w:lineRule="auto"/>
        <w:jc w:val="center"/>
        <w:rPr>
          <w:rFonts w:ascii="Bahnschrift" w:eastAsia="Bahnschrift" w:hAnsi="Bahnschrift" w:cs="Bahnschrift"/>
          <w:b/>
          <w:bCs/>
          <w:sz w:val="28"/>
          <w:szCs w:val="28"/>
          <w:lang w:eastAsia="en-US" w:bidi="ar-SA"/>
        </w:rPr>
      </w:pPr>
      <w:r>
        <w:rPr>
          <w:rFonts w:ascii="Bahnschrift" w:hAnsi="Bahnschrift" w:cs="Tahoma"/>
          <w:b/>
          <w:bCs/>
          <w:sz w:val="28"/>
          <w:szCs w:val="28"/>
          <w:lang w:eastAsia="en-US" w:bidi="ar-SA"/>
        </w:rPr>
        <w:t>Cz. B – Notebook</w:t>
      </w:r>
      <w:r>
        <w:rPr>
          <w:rFonts w:ascii="Bahnschrift" w:eastAsia="Bahnschrift" w:hAnsi="Bahnschrift" w:cs="Bahnschrift"/>
          <w:b/>
          <w:bCs/>
          <w:sz w:val="28"/>
          <w:szCs w:val="28"/>
          <w:lang w:eastAsia="en-US" w:bidi="ar-SA"/>
        </w:rPr>
        <w:t xml:space="preserve"> wraz ze stacją dokującą</w:t>
      </w:r>
    </w:p>
    <w:p w14:paraId="1E3A990A" w14:textId="1933BA1A" w:rsidR="00143264" w:rsidRDefault="00143264">
      <w:pPr>
        <w:rPr>
          <w:rFonts w:ascii="Bahnschrift" w:eastAsia="Bahnschrift" w:hAnsi="Bahnschrift" w:cs="Bahnschrift"/>
          <w:sz w:val="16"/>
          <w:szCs w:val="16"/>
        </w:rPr>
      </w:pPr>
    </w:p>
    <w:tbl>
      <w:tblPr>
        <w:tblW w:w="13727" w:type="dxa"/>
        <w:tblLayout w:type="fixed"/>
        <w:tblCellMar>
          <w:left w:w="76" w:type="dxa"/>
        </w:tblCellMar>
        <w:tblLook w:val="04A0" w:firstRow="1" w:lastRow="0" w:firstColumn="1" w:lastColumn="0" w:noHBand="0" w:noVBand="1"/>
      </w:tblPr>
      <w:tblGrid>
        <w:gridCol w:w="1618"/>
        <w:gridCol w:w="6609"/>
        <w:gridCol w:w="5500"/>
      </w:tblGrid>
      <w:tr w:rsidR="00A40FB6" w:rsidRPr="00CA741B" w14:paraId="18F28A1E" w14:textId="77777777" w:rsidTr="00A40FB6">
        <w:trPr>
          <w:cantSplit/>
          <w:trHeight w:val="300"/>
          <w:tblHeader/>
        </w:trPr>
        <w:tc>
          <w:tcPr>
            <w:tcW w:w="13727" w:type="dxa"/>
            <w:gridSpan w:val="3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5B986079" w14:textId="695C68F7" w:rsidR="00A40FB6" w:rsidRDefault="00A40FB6" w:rsidP="00F07464">
            <w:pPr>
              <w:widowControl/>
              <w:spacing w:before="40" w:after="40" w:line="480" w:lineRule="auto"/>
              <w:jc w:val="center"/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</w:pPr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 xml:space="preserve">Notebook, </w:t>
            </w:r>
            <w:proofErr w:type="spellStart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>ilość</w:t>
            </w:r>
            <w:proofErr w:type="spellEnd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 xml:space="preserve"> </w:t>
            </w:r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>300</w:t>
            </w:r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>szt</w:t>
            </w:r>
            <w:proofErr w:type="spellEnd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>.</w:t>
            </w:r>
          </w:p>
          <w:p w14:paraId="7FB9E0D0" w14:textId="77777777" w:rsidR="00A40FB6" w:rsidRDefault="00A40FB6" w:rsidP="00F07464">
            <w:pPr>
              <w:jc w:val="center"/>
              <w:rPr>
                <w:lang w:val="en-US"/>
              </w:rPr>
            </w:pPr>
            <w:proofErr w:type="spellStart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>Producent</w:t>
            </w:r>
            <w:proofErr w:type="spellEnd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 xml:space="preserve"> ………………… model/</w:t>
            </w:r>
            <w:proofErr w:type="spellStart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>typ</w:t>
            </w:r>
            <w:proofErr w:type="spellEnd"/>
            <w:r>
              <w:rPr>
                <w:rFonts w:ascii="Bahnschrift" w:hAnsi="Bahnschrift" w:cs="Tahoma"/>
                <w:b/>
                <w:sz w:val="16"/>
                <w:szCs w:val="16"/>
                <w:lang w:val="en-US" w:eastAsia="en-US" w:bidi="ar-SA"/>
              </w:rPr>
              <w:t xml:space="preserve"> ……………………………</w:t>
            </w:r>
          </w:p>
        </w:tc>
      </w:tr>
      <w:tr w:rsidR="00143264" w14:paraId="71889D0B" w14:textId="77777777" w:rsidTr="00A40FB6">
        <w:tblPrEx>
          <w:jc w:val="center"/>
        </w:tblPrEx>
        <w:trPr>
          <w:cantSplit/>
          <w:trHeight w:val="300"/>
          <w:tblHeader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31E50B0" w14:textId="77777777" w:rsidR="00143264" w:rsidRDefault="003E5D93">
            <w:pPr>
              <w:widowControl/>
              <w:spacing w:before="40" w:after="40"/>
              <w:jc w:val="center"/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Podzespół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2D0A33E6" w14:textId="77777777" w:rsidR="00143264" w:rsidRDefault="003E5D93">
            <w:pPr>
              <w:widowControl/>
              <w:spacing w:before="40" w:after="40"/>
              <w:jc w:val="center"/>
              <w:rPr>
                <w:rFonts w:ascii="Bahnschrift" w:hAnsi="Bahnschrift" w:cs="Tahoma"/>
                <w:b/>
                <w:bCs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 xml:space="preserve">Minimalne parametry </w:t>
            </w:r>
            <w:r>
              <w:rPr>
                <w:rFonts w:ascii="Bahnschrift" w:hAnsi="Bahnschrift" w:cs="Tahoma"/>
                <w:b/>
                <w:bCs/>
                <w:sz w:val="16"/>
                <w:szCs w:val="16"/>
                <w:lang w:eastAsia="en-US" w:bidi="ar-SA"/>
              </w:rPr>
              <w:t>wymagane przez Zamawiającego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7B75CEBA" w14:textId="77777777" w:rsidR="00143264" w:rsidRDefault="003E5D93">
            <w:pPr>
              <w:widowControl/>
              <w:snapToGrid w:val="0"/>
              <w:spacing w:before="40" w:after="40"/>
              <w:jc w:val="center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Parametry techniczne oferowanego sprzętu</w:t>
            </w:r>
          </w:p>
        </w:tc>
      </w:tr>
      <w:tr w:rsidR="00143264" w14:paraId="641079AB" w14:textId="77777777" w:rsidTr="00A40FB6">
        <w:tblPrEx>
          <w:jc w:val="center"/>
        </w:tblPrEx>
        <w:trPr>
          <w:cantSplit/>
          <w:trHeight w:val="912"/>
          <w:jc w:val="center"/>
        </w:trPr>
        <w:tc>
          <w:tcPr>
            <w:tcW w:w="161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20FDA95B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Ekran (parametry minimalne)</w:t>
            </w:r>
          </w:p>
        </w:tc>
        <w:tc>
          <w:tcPr>
            <w:tcW w:w="66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E56D35D" w14:textId="77777777" w:rsidR="00143264" w:rsidRDefault="003E5D93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Matryca LCD typu IPS, 15,5-16,1”, powłoka antyrefleksyjna matowa, </w:t>
            </w:r>
            <w:r>
              <w:rPr>
                <w:rFonts w:ascii="Bahnschrift" w:eastAsia="Bahnschrift" w:hAnsi="Bahnschrift" w:cs="Bahnschrift"/>
                <w:sz w:val="16"/>
                <w:szCs w:val="16"/>
              </w:rPr>
              <w:t>rozdzielczość 1920x1080 (proporcje ekranu 16:9) lub 1920x1200 (proporcje ekranu 16:10)</w:t>
            </w: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, min. 300 nits, o kącie widzenia w poziomie co najmniej +/- 80 stopni i kącie widzenia w pionie co najmniej +/- 80 stopni.</w:t>
            </w:r>
          </w:p>
        </w:tc>
        <w:tc>
          <w:tcPr>
            <w:tcW w:w="550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3F75F51" w14:textId="77777777" w:rsidR="00143264" w:rsidRDefault="00143264">
            <w:pPr>
              <w:widowControl/>
              <w:snapToGrid w:val="0"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bookmarkStart w:id="0" w:name="_GoBack"/>
            <w:bookmarkEnd w:id="0"/>
          </w:p>
        </w:tc>
      </w:tr>
      <w:tr w:rsidR="00143264" w14:paraId="5DDBA12A" w14:textId="77777777" w:rsidTr="00A40FB6">
        <w:tblPrEx>
          <w:jc w:val="center"/>
        </w:tblPrEx>
        <w:trPr>
          <w:cantSplit/>
          <w:trHeight w:val="982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67188DC1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Procesor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4030FE3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Procesor klasy x86, dedykowany do pracy w komputerach przenośnych, zaprojektowany do pracy w układach jednoprocesorowych, wyposażony w dedykowany układ NPU (Neural Processing Unit), osiągający w teście Passmark CPU Mark zawartym na stronie internetowej </w:t>
            </w:r>
            <w:hyperlink r:id="rId8">
              <w:r>
                <w:rPr>
                  <w:rStyle w:val="Hipercze1"/>
                  <w:rFonts w:ascii="Bahnschrift" w:eastAsia="Bahnschrift" w:hAnsi="Bahnschrift" w:cs="Bahnschrift"/>
                  <w:color w:val="auto"/>
                  <w:sz w:val="16"/>
                  <w:szCs w:val="16"/>
                </w:rPr>
                <w:t>www.cpubenchmark.net</w:t>
              </w:r>
            </w:hyperlink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 min. 24600 pkt.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4854B15" w14:textId="77777777" w:rsidR="00143264" w:rsidRDefault="003E5D93">
            <w:pPr>
              <w:widowControl/>
              <w:snapToGrid w:val="0"/>
              <w:spacing w:line="360" w:lineRule="auto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Producent:</w:t>
            </w:r>
          </w:p>
          <w:p w14:paraId="389E59BE" w14:textId="77777777" w:rsidR="00143264" w:rsidRDefault="003E5D93">
            <w:pPr>
              <w:widowControl/>
              <w:snapToGrid w:val="0"/>
              <w:spacing w:line="360" w:lineRule="auto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Model:</w:t>
            </w:r>
          </w:p>
          <w:p w14:paraId="2DE5A444" w14:textId="77777777" w:rsidR="00143264" w:rsidRDefault="003E5D93">
            <w:pPr>
              <w:widowControl/>
              <w:snapToGrid w:val="0"/>
              <w:spacing w:line="360" w:lineRule="auto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Osiągający w teście Passmark CPU Mark (average CPU Mark) zawartym na stronie internetowej </w:t>
            </w:r>
            <w:hyperlink r:id="rId9">
              <w:r>
                <w:rPr>
                  <w:rStyle w:val="Hipercze1"/>
                  <w:rFonts w:ascii="Bahnschrift" w:hAnsi="Bahnschrift" w:cs="Tahoma"/>
                  <w:color w:val="auto"/>
                  <w:sz w:val="16"/>
                  <w:szCs w:val="16"/>
                  <w:lang w:eastAsia="en-US" w:bidi="ar-SA"/>
                </w:rPr>
                <w:t>www.cpubenchmark.net</w:t>
              </w:r>
            </w:hyperlink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 ….. punktów na dzień: …………</w:t>
            </w:r>
          </w:p>
        </w:tc>
      </w:tr>
      <w:tr w:rsidR="00143264" w14:paraId="24481D18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4DC2A7A4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Pamięć (minimum)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FA6212F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Min. 16 GB z możliwością rozbudowy do 64 GB, rodzaj pamięci min. DDR5. </w:t>
            </w:r>
            <w:r>
              <w:rPr>
                <w:rFonts w:ascii="Bahnschrift" w:eastAsia="Bahnschrift" w:hAnsi="Bahnschrift" w:cs="Bahnschrift"/>
                <w:sz w:val="16"/>
                <w:szCs w:val="16"/>
              </w:rPr>
              <w:t>Notebook wyposażony w min. 2 gniazda pamięci RAM min. DDR5 obsługujące pamięci z taktowaniem co najmniej do 5600 MHz, w tym min. 1 gniazdo niezajęte przez kość pamięci RAM.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353E369" w14:textId="77777777" w:rsidR="00143264" w:rsidRDefault="001432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143264" w14:paraId="0AF52CC5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7D90F569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Chipset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D23B93A" w14:textId="77777777" w:rsidR="00143264" w:rsidRDefault="003E5D93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Dostosowany do zaoferowanego procesora.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E85B81F" w14:textId="77777777" w:rsidR="00143264" w:rsidRDefault="001432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143264" w14:paraId="326F0616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7AC33B2F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val="en-US"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Dysk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C26E11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SSD M.2 NVMe PCIe 4.0x4 lub szybszy o pojemności min. 1 TB.</w:t>
            </w:r>
          </w:p>
          <w:p w14:paraId="74053C8B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Notebook wyposażony w min. 2 gniazda na dyski SSD M.2 NVMe PCIe 4.0x4 lub szybsze o długości 2280, w tym min. 1 gniazdo niezajęte przez dysk SSD.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7F08D72" w14:textId="77777777" w:rsidR="00143264" w:rsidRDefault="001432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143264" w14:paraId="7866B280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68495241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Napęd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FE586C4" w14:textId="77777777" w:rsidR="00143264" w:rsidRDefault="003E5D93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Zamawiający nie wymaga, aby notebook był wyposażony w napęd optyczny.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36FF06A" w14:textId="77777777" w:rsidR="00143264" w:rsidRDefault="001432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143264" w14:paraId="26D3A470" w14:textId="77777777" w:rsidTr="00A40FB6">
        <w:tblPrEx>
          <w:jc w:val="center"/>
        </w:tblPrEx>
        <w:trPr>
          <w:cantSplit/>
          <w:trHeight w:val="784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16DAC7D9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graficzna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231804F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Karta graficzna zintegrowana w procesorze.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014448C" w14:textId="77777777" w:rsidR="00143264" w:rsidRDefault="003E5D93">
            <w:pPr>
              <w:pStyle w:val="1TableText"/>
              <w:spacing w:before="0" w:after="0"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>
              <w:rPr>
                <w:rFonts w:ascii="Bahnschrift" w:eastAsia="Times New Roman" w:hAnsi="Bahnschrift" w:cs="Arial"/>
                <w:sz w:val="16"/>
                <w:szCs w:val="16"/>
              </w:rPr>
              <w:t xml:space="preserve">Producent: </w:t>
            </w:r>
          </w:p>
          <w:p w14:paraId="44966D46" w14:textId="77777777" w:rsidR="00143264" w:rsidRDefault="003E5D93">
            <w:pPr>
              <w:pStyle w:val="1TableText"/>
              <w:spacing w:before="0" w:after="0" w:line="360" w:lineRule="auto"/>
              <w:rPr>
                <w:rFonts w:ascii="Bahnschrift" w:eastAsia="Times New Roman" w:hAnsi="Bahnschrift" w:cs="Arial"/>
                <w:sz w:val="16"/>
                <w:szCs w:val="16"/>
              </w:rPr>
            </w:pPr>
            <w:r>
              <w:rPr>
                <w:rFonts w:ascii="Bahnschrift" w:eastAsia="Times New Roman" w:hAnsi="Bahnschrift" w:cs="Arial"/>
                <w:sz w:val="16"/>
                <w:szCs w:val="16"/>
              </w:rPr>
              <w:t xml:space="preserve">Model: </w:t>
            </w:r>
          </w:p>
          <w:p w14:paraId="59EAFC08" w14:textId="77777777" w:rsidR="00143264" w:rsidRDefault="003E5D93">
            <w:pPr>
              <w:pStyle w:val="1TableText"/>
              <w:spacing w:before="0" w:after="0" w:line="360" w:lineRule="auto"/>
              <w:rPr>
                <w:rFonts w:ascii="Bahnschrift" w:hAnsi="Bahnschrift" w:cs="Tahoma"/>
                <w:sz w:val="16"/>
                <w:szCs w:val="16"/>
              </w:rPr>
            </w:pPr>
            <w:r>
              <w:rPr>
                <w:rFonts w:ascii="Bahnschrift" w:hAnsi="Bahnschrift" w:cs="Arial"/>
                <w:sz w:val="16"/>
                <w:szCs w:val="16"/>
              </w:rPr>
              <w:t xml:space="preserve">Osiągająca w teście </w:t>
            </w:r>
            <w:r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Passmark G3D Mark (average G3D Mark) zawartym na stronie internetowej </w:t>
            </w:r>
            <w:hyperlink r:id="rId10">
              <w:r>
                <w:rPr>
                  <w:rStyle w:val="Hipercze1"/>
                  <w:rFonts w:ascii="Bahnschrift" w:hAnsi="Bahnschrift" w:cs="Arial"/>
                  <w:color w:val="auto"/>
                  <w:sz w:val="16"/>
                  <w:szCs w:val="16"/>
                  <w:lang w:bidi="hi-IN"/>
                </w:rPr>
                <w:t>www.videocardbenchmark.net</w:t>
              </w:r>
            </w:hyperlink>
            <w:r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 .</w:t>
            </w:r>
            <w:r>
              <w:rPr>
                <w:rFonts w:ascii="Bahnschrift" w:hAnsi="Bahnschrift" w:cs="Arial"/>
                <w:sz w:val="16"/>
                <w:szCs w:val="16"/>
              </w:rPr>
              <w:t>…..</w:t>
            </w:r>
            <w:r>
              <w:rPr>
                <w:rFonts w:ascii="Bahnschrift" w:hAnsi="Bahnschrift" w:cs="Arial"/>
                <w:sz w:val="16"/>
                <w:szCs w:val="16"/>
                <w:lang w:bidi="hi-IN"/>
              </w:rPr>
              <w:t xml:space="preserve">  punktów </w:t>
            </w:r>
            <w:r>
              <w:rPr>
                <w:rFonts w:ascii="Bahnschrift" w:hAnsi="Bahnschrift" w:cs="Arial"/>
                <w:sz w:val="16"/>
                <w:szCs w:val="16"/>
              </w:rPr>
              <w:t>na dzień: …………</w:t>
            </w:r>
          </w:p>
        </w:tc>
      </w:tr>
      <w:tr w:rsidR="00143264" w14:paraId="5EEC1931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205814E3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dźwiękowa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E2604C8" w14:textId="77777777" w:rsidR="00143264" w:rsidRDefault="003E5D93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Zintegrowana, zgodna z HD audio.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3924EF6" w14:textId="77777777" w:rsidR="00143264" w:rsidRDefault="001432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143264" w14:paraId="76020501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228F673C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lastRenderedPageBreak/>
              <w:t>Głośniki lub głośnik, mikrofon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2783AFE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Wbudowane głośniki stereo min. 2 x 2 W, wbudowane min. dwa mikrofony, sterowanie głośnością głośników za pośrednictwem wydzielonych klawiszy funkcyjnych na klawiaturze.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97C0615" w14:textId="77777777" w:rsidR="00143264" w:rsidRDefault="001432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143264" w14:paraId="64AD3E30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4686EC1A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sieciowa przewodowa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11C7B49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10/100/1000 Ethernet RJ45 zintegrowana z notebookiem.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CB27130" w14:textId="77777777" w:rsidR="00143264" w:rsidRDefault="001432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143264" w14:paraId="67FFB293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6537AC19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sieciowa bezprzewodowa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3D2342B" w14:textId="77777777" w:rsidR="00143264" w:rsidRDefault="003E5D93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WLAN 802.11a/b/g/n/ac/ax.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2281D7A" w14:textId="77777777" w:rsidR="00143264" w:rsidRDefault="001432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143264" w14:paraId="47BFD3B3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5772A8C3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Karta Bluetooth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4C1283D" w14:textId="77777777" w:rsidR="00143264" w:rsidRDefault="003E5D93">
            <w:pPr>
              <w:widowControl/>
              <w:spacing w:before="40" w:after="40"/>
              <w:jc w:val="both"/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Wbudowany moduł Bluetooth min. 5.3.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1319F79" w14:textId="77777777" w:rsidR="00143264" w:rsidRDefault="001432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143264" w14:paraId="726DDF31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252965B4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Kamera (minimum)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02F5E8B" w14:textId="77777777" w:rsidR="00143264" w:rsidRDefault="003E5D93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Wbudowana w obudowę ekranu min. 1080p HD z funkcją zasłaniania obiektywu.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44ABE27" w14:textId="77777777" w:rsidR="00143264" w:rsidRDefault="001432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143264" w14:paraId="5329B6DB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7C1852E8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Porty, złącza wbudowane (minimum)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C319514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2 x USB Type-A 5 Gbps lub szybszy (z czego 1 typu Always On).</w:t>
            </w:r>
          </w:p>
          <w:p w14:paraId="2530F16A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1 x Thunderbolt 4 lub szybszy (zgodny z USB Type-C).</w:t>
            </w:r>
          </w:p>
          <w:p w14:paraId="61AA3E7B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1 x Thunderbolt 4 lub szybszy (zgodny z USB Type-C), bądź alternatywnie 1 x USB Type-C 10 Gbps lub szybszy.</w:t>
            </w:r>
          </w:p>
          <w:p w14:paraId="5B2BDFC1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1 x HDMI 2.1 lub nowszy.</w:t>
            </w:r>
          </w:p>
          <w:p w14:paraId="3D33DE9B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1 x złącze słuchawek i mikrofonu typu combo.</w:t>
            </w:r>
          </w:p>
          <w:p w14:paraId="09EFC4F1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1 x 10/100/1000 Ethernet RJ45.</w:t>
            </w:r>
          </w:p>
          <w:p w14:paraId="4E6302DA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  <w:lang w:val="en-US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1 x czytnik kart multimedialnych (min. SD, SDHC, SDXC lub min. </w:t>
            </w:r>
            <w:r>
              <w:rPr>
                <w:rFonts w:ascii="Bahnschrift" w:eastAsia="Bahnschrift" w:hAnsi="Bahnschrift" w:cs="Bahnschrift"/>
                <w:sz w:val="16"/>
                <w:szCs w:val="16"/>
                <w:lang w:val="en-US"/>
              </w:rPr>
              <w:t>Micro SD, Micro SDHC, Micro SDXC).</w:t>
            </w:r>
          </w:p>
          <w:p w14:paraId="477152F7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Notebook zasilany przez złącze USB Type-C lub Thunderbolt (Zamawiający dopuszcza wykorzystanie w tym celu 1 z w/w złączy USB Type-C lub Thunderbolt).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188AB8A" w14:textId="77777777" w:rsidR="00143264" w:rsidRDefault="001432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143264" w14:paraId="07B85233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258D4B7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BIOS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4E52C33" w14:textId="77777777" w:rsidR="00143264" w:rsidRDefault="003E5D93">
            <w:pPr>
              <w:widowControl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- BIOS zgodny ze specyfikacją UEFI, pełna obsługa za pomocą klawiatury i myszki.</w:t>
            </w:r>
          </w:p>
          <w:p w14:paraId="06DD7175" w14:textId="77777777" w:rsidR="00143264" w:rsidRDefault="003E5D93">
            <w:pPr>
              <w:widowControl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- Możliwość, bez uruchamiania systemu operacyjnego z dysku twardego komputera lub innych, podłączonych do niego urządzeń zewnętrznych odczytania z BIOS informacji o: wersji BIOS, numerze seryjnym komputera, ilości pamięci RAM, typie procesora.</w:t>
            </w:r>
          </w:p>
          <w:p w14:paraId="78564036" w14:textId="77777777" w:rsidR="00143264" w:rsidRDefault="003E5D93">
            <w:pPr>
              <w:widowControl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- Funkcja blokowania/odblokowania BOOT-owania z zewnętrznych urządzeń.</w:t>
            </w:r>
          </w:p>
          <w:p w14:paraId="1FEA45FD" w14:textId="77777777" w:rsidR="00143264" w:rsidRDefault="003E5D93">
            <w:pPr>
              <w:widowControl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- Funkcja blokowania/odblokowania BOOT-owania z USB.</w:t>
            </w:r>
          </w:p>
          <w:p w14:paraId="798BC3D0" w14:textId="77777777" w:rsidR="00143264" w:rsidRPr="004C6C6A" w:rsidRDefault="003E5D93">
            <w:pPr>
              <w:widowControl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- Możliwość, bez uruchamiania systemu operacyjnego z dysku twardego komputera lub innych, podłączonych do niego urządzeń zewnętrznych, ustawienia hasła na poziomie </w:t>
            </w:r>
            <w:r w:rsidRPr="004C6C6A">
              <w:rPr>
                <w:rFonts w:ascii="Bahnschrift" w:eastAsia="Bahnschrift" w:hAnsi="Bahnschrift" w:cs="Bahnschrift"/>
                <w:sz w:val="16"/>
                <w:szCs w:val="16"/>
              </w:rPr>
              <w:t>użytkownika, administratora oraz dysku twardego.</w:t>
            </w:r>
          </w:p>
          <w:p w14:paraId="42648291" w14:textId="403BF487" w:rsidR="00B22983" w:rsidRPr="004C6C6A" w:rsidRDefault="00B22983" w:rsidP="00B22983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 w:rsidRPr="004C6C6A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Musi posiadać możliwość ustawienia hasła Administratora do BIOS</w:t>
            </w:r>
            <w:r w:rsidR="004C6C6A" w:rsidRPr="004C6C6A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.</w:t>
            </w:r>
          </w:p>
          <w:p w14:paraId="21C6DC56" w14:textId="645E056B" w:rsidR="00143264" w:rsidRDefault="003E5D93">
            <w:pPr>
              <w:widowControl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- Możliwość wyłączenia/włączenia: zintegrowanej karty sieciowej, portów USB, mikrofonu, kamery, WLAN, Bluetooth z poziomu BIOS, bez uruchamiania systemu operacyjnego z dysku twardego komputera lub innych, podłączonych do niego, urządzeń zewnętrznych (zapis nie dotyczy podzespołów, które nie są wbudowane w notebooka).</w:t>
            </w:r>
          </w:p>
          <w:p w14:paraId="64FF9586" w14:textId="77777777" w:rsidR="00143264" w:rsidRDefault="003E5D93">
            <w:pPr>
              <w:widowControl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- Możliwość włączenia/wyłączenia funkcjonalności Wake On LAN.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C18350F" w14:textId="77777777" w:rsidR="00143264" w:rsidRDefault="00143264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143264" w14:paraId="2C8EEF43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45362886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lastRenderedPageBreak/>
              <w:t>Klawiatura i touchpad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9BD66C9" w14:textId="77777777" w:rsidR="00143264" w:rsidRDefault="003E5D93">
            <w:pPr>
              <w:widowControl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Układ US QWERTY, z wbudowanym touchpadem do obsługi wskaźnika myszy, wyposażona w podświetlenie oraz blok klawiszy numerycznych.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21CF927" w14:textId="77777777" w:rsidR="00143264" w:rsidRDefault="00143264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143264" w14:paraId="26241E3C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27DA9A0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Bateria (minimum)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9E0FFCC" w14:textId="77777777" w:rsidR="00143264" w:rsidRDefault="003E5D93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Bateria o pojemności co najmniej 70 Wh.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7C1F015" w14:textId="77777777" w:rsidR="00143264" w:rsidRDefault="001432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143264" w14:paraId="4976D8CC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52A8BE02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Zasilacz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8E473E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Właściwy dla komputera, złącze zasilania USB Type-C, moc zasilacza minimum 100 W.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34FDA4F" w14:textId="77777777" w:rsidR="00143264" w:rsidRDefault="001432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143264" w14:paraId="0A098379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6F67EA9D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System operacyjny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0A08772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Notebook musi posiadać zainstalowany fabrycznie system operacyjny Microsoft Windows 11 Professional 64 bit lub nowszy w wersji językowej polskiej, lub system operacyjny równoważny w zakresie funkcjonalności systemu opisanej przez producenta oprogramowania i jego współpracy ze środowiskiem produktów Microsoft oraz o takich samych bądź korzystniejszych postanowieniach licencyjnych dotyczących dozwolonego użytku w sektorze akademickim i komercyjnym.</w:t>
            </w:r>
          </w:p>
          <w:p w14:paraId="2978BE03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System operacyjny musi być fabrycznie nowy, nieużywany i nieaktywowany nigdy wcześniej na innym urządzeniu, oraz musi pochodzić z legalnego źródła sprzedaży.</w:t>
            </w:r>
          </w:p>
          <w:p w14:paraId="181E4944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Jeżeli licencja na system operacyjny obejmuje naklejkę hologramową z kluczem, naklejka ta winna być zabezpieczona przed możliwością odczytania klucza za pomocą zabezpieczeń stosowanych przez producenta.</w:t>
            </w:r>
          </w:p>
          <w:p w14:paraId="5CED8251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Klucz licencyjny systemu operacyjnego musi być trwale zapisany w pamięci BIOS.</w:t>
            </w:r>
          </w:p>
          <w:p w14:paraId="1EAD3FFF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Dopuszczalna aktywacja systemu operacyjnego przez użytkownika przez Internet.</w:t>
            </w:r>
          </w:p>
          <w:p w14:paraId="777CDE45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Dołączony nośnik z oprogramowaniem lub inne rozwiązanie do odtworzenia systemu, w konfiguracji właściwej dla danego modelu.</w:t>
            </w:r>
          </w:p>
          <w:p w14:paraId="0C67E598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Notebook musi być w pełni zgodny z zaoferowanym systemem operacyjnym.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8DFBAAF" w14:textId="77777777" w:rsidR="00143264" w:rsidRDefault="001432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143264" w14:paraId="198449A1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2A057FC4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Oprogramowanie dodatkowe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0034EA2" w14:textId="77777777" w:rsidR="00143264" w:rsidRDefault="003E5D93">
            <w:pPr>
              <w:widowControl/>
              <w:spacing w:before="40" w:after="40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Udostępniane na stronie WWW producenta notebooka pliki z najnowszymi właściwymi dla danego notebooka sterownikami, uaktualnieniami oprogramowania układowego i aktualizacjami preinstalowanych programów pochodzących od producenta notebooka; dostęp do plików możliwy w szczególności poprzez podanie na tej stronie WWW numeru seryjnego lub modelu notebooka.</w:t>
            </w:r>
          </w:p>
          <w:p w14:paraId="09EC5AD2" w14:textId="77777777" w:rsidR="00143264" w:rsidRDefault="003E5D93">
            <w:pPr>
              <w:widowControl/>
              <w:spacing w:before="40" w:after="40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Instalowane na notebooku oprogramowanie producenta notebooka, które może na żądanie bądź automatycznie pobierać i instalować najnowsze właściwe dla danego notebooka sterowniki, uaktualnienia oprogramowania układowego i aktualizacje preinstalowanych programów pochodzących od producenta notebooka.</w:t>
            </w:r>
          </w:p>
          <w:p w14:paraId="4B64E615" w14:textId="77777777" w:rsidR="00143264" w:rsidRDefault="003E5D93">
            <w:pPr>
              <w:widowControl/>
              <w:spacing w:before="40" w:after="40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Oprogramowanie do odtwarzania oryginalnego stanu systemu operacyjnego.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8DB8B84" w14:textId="77777777" w:rsidR="00143264" w:rsidRDefault="00143264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143264" w14:paraId="17743CAF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30976F0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Certyfikaty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D2499AD" w14:textId="77777777" w:rsidR="00143264" w:rsidRDefault="003E5D93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Certyfikat ISO9001:2008 dla producenta sprzętu lub równoważny.</w:t>
            </w:r>
          </w:p>
          <w:p w14:paraId="20283614" w14:textId="77777777" w:rsidR="00143264" w:rsidRDefault="003E5D93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Deklaracja zgodności CE.</w:t>
            </w:r>
          </w:p>
          <w:p w14:paraId="41AF5889" w14:textId="77777777" w:rsidR="00143264" w:rsidRDefault="003E5D93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Potwierdzenie spełnienia kryteriów środowiskowych, w tym zgodności z dyrektywą RoHS Unii Europejskiej o eliminacji substancji niebezpiecznych.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EE44D3E" w14:textId="77777777" w:rsidR="00143264" w:rsidRDefault="00143264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143264" w14:paraId="31EB9867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6148D479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lastRenderedPageBreak/>
              <w:t>System diagnostyczny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20C0A10" w14:textId="77777777" w:rsidR="00143264" w:rsidRDefault="003E5D93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System diagnostyczny producenta działający nawet w przypadku uszkodzenia dysku twardego z systemem operacyjnym komputera, umożliwiający na wykonanie diagnostyki następujących podzespołów:</w:t>
            </w:r>
          </w:p>
          <w:p w14:paraId="62EAD510" w14:textId="77777777" w:rsidR="00143264" w:rsidRDefault="003E5D93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- pamięci RAM </w:t>
            </w:r>
          </w:p>
          <w:p w14:paraId="65FCAB11" w14:textId="77777777" w:rsidR="00143264" w:rsidRDefault="003E5D93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CPU</w:t>
            </w:r>
          </w:p>
          <w:p w14:paraId="293B865D" w14:textId="77777777" w:rsidR="00143264" w:rsidRDefault="003E5D93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- dysku twardego</w:t>
            </w:r>
          </w:p>
          <w:p w14:paraId="6B9E79CB" w14:textId="77777777" w:rsidR="00143264" w:rsidRDefault="003E5D93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Wizualna lub dźwiękowa sygnalizacja w przypadku uszkodzenia bądź błędów któregokolwiek z powyższych podzespołów komputera.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9B3630C" w14:textId="77777777" w:rsidR="00143264" w:rsidRDefault="00143264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143264" w14:paraId="0D9952B9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3642877A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Obudowa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15427EA" w14:textId="77777777" w:rsidR="00143264" w:rsidRDefault="003E5D93">
            <w:pPr>
              <w:widowControl/>
              <w:spacing w:before="40" w:after="40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Obudowa komputera wykonana z materiałów o podwyższonej odporności na uszkodzenia mechaniczne oraz przystosowana do pracy w trudnych warunkach termicznych, charakteryzująca się wzmocnioną konstrukcją.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48C18A0" w14:textId="77777777" w:rsidR="00143264" w:rsidRDefault="00143264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  <w:tr w:rsidR="00143264" w14:paraId="5C5D3670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4E073735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Waga (maksymalna w zaoferowanej konfiguracji)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5DDC858" w14:textId="77777777" w:rsidR="00143264" w:rsidRDefault="003E5D93">
            <w:pPr>
              <w:widowControl/>
              <w:spacing w:before="40" w:after="40"/>
              <w:jc w:val="both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Max. 2,0 kg.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85B9483" w14:textId="77777777" w:rsidR="00143264" w:rsidRDefault="001432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143264" w14:paraId="636262D4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7EFE4026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Zabezpieczenia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AEFED5C" w14:textId="77777777" w:rsidR="00143264" w:rsidRDefault="003E5D93">
            <w:pPr>
              <w:widowControl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Komputer wyposażony w moduł TPM 2.0, czytnik linii papilarnych, złącze antykradzieżowe – możliwość zabezpieczenia linką metalową.</w:t>
            </w:r>
          </w:p>
          <w:p w14:paraId="6171D07D" w14:textId="68E00D7F" w:rsidR="00143264" w:rsidRDefault="003E5D93">
            <w:pPr>
              <w:widowControl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Dysk </w:t>
            </w:r>
            <w:r w:rsidRPr="001D3E38">
              <w:rPr>
                <w:rFonts w:ascii="Bahnschrift" w:eastAsia="Bahnschrift" w:hAnsi="Bahnschrift" w:cs="Bahnschrift"/>
                <w:sz w:val="16"/>
                <w:szCs w:val="16"/>
              </w:rPr>
              <w:t xml:space="preserve">stały SSD wspierający technologię szybkiego i bezpowrotnego usunięcia danych z dysku (funkcjonalność realizowana w BIOS </w:t>
            </w:r>
            <w:r w:rsidR="00B22983" w:rsidRPr="001D3E38"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  <w:t>lub systemie diagnostycznym</w:t>
            </w:r>
            <w:r w:rsidR="00B22983" w:rsidRPr="001D3E38"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 xml:space="preserve"> </w:t>
            </w:r>
            <w:r w:rsidRPr="001D3E38">
              <w:rPr>
                <w:rFonts w:ascii="Bahnschrift" w:eastAsia="Bahnschrift" w:hAnsi="Bahnschrift" w:cs="Bahnschrift"/>
                <w:sz w:val="16"/>
                <w:szCs w:val="16"/>
              </w:rPr>
              <w:t>zaoferowanego komputera).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658452B" w14:textId="77777777" w:rsidR="00143264" w:rsidRDefault="00143264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143264" w14:paraId="68BE97B2" w14:textId="77777777" w:rsidTr="00A40FB6">
        <w:tblPrEx>
          <w:jc w:val="center"/>
        </w:tblPrEx>
        <w:trPr>
          <w:cantSplit/>
          <w:trHeight w:val="300"/>
          <w:jc w:val="center"/>
        </w:trPr>
        <w:tc>
          <w:tcPr>
            <w:tcW w:w="16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5076418C" w14:textId="77777777" w:rsidR="00143264" w:rsidRDefault="003E5D93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Gwarancja</w:t>
            </w: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3BD6C3A" w14:textId="02F19041" w:rsidR="00143264" w:rsidRDefault="00DA3C7F">
            <w:pPr>
              <w:widowControl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Ś</w:t>
            </w:r>
            <w:r w:rsidR="003E5D93">
              <w:rPr>
                <w:rFonts w:ascii="Bahnschrift" w:eastAsia="Bahnschrift" w:hAnsi="Bahnschrift" w:cs="Bahnschrift"/>
                <w:sz w:val="16"/>
                <w:szCs w:val="16"/>
              </w:rPr>
              <w:t>wiadczona w miejscu użytkowania sprzętu (on-site).</w:t>
            </w:r>
          </w:p>
          <w:p w14:paraId="63FCC766" w14:textId="77777777" w:rsidR="00143264" w:rsidRDefault="003E5D93">
            <w:pPr>
              <w:widowControl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Możliwość weryfikacji na stronie producenta posiadanej/wykupionej gwarancji.</w:t>
            </w:r>
          </w:p>
          <w:p w14:paraId="737A6D4B" w14:textId="77777777" w:rsidR="00143264" w:rsidRDefault="003E5D93">
            <w:pPr>
              <w:widowControl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Naprawy gwarancyjne urządzeń muszą być realizowane w Polsce przez Producenta lub Autoryzowanego Partnera Serwisowego Producenta.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ABFBCE6" w14:textId="77777777" w:rsidR="00143264" w:rsidRDefault="00143264">
            <w:pPr>
              <w:widowControl/>
              <w:rPr>
                <w:rFonts w:ascii="Bahnschrift" w:hAnsi="Bahnschrift" w:cs="Tahoma"/>
                <w:bCs/>
                <w:sz w:val="16"/>
                <w:szCs w:val="16"/>
                <w:lang w:eastAsia="en-US" w:bidi="ar-SA"/>
              </w:rPr>
            </w:pPr>
          </w:p>
        </w:tc>
      </w:tr>
    </w:tbl>
    <w:p w14:paraId="72CE8730" w14:textId="77777777" w:rsidR="00143264" w:rsidRDefault="00143264">
      <w:pPr>
        <w:widowControl/>
        <w:spacing w:after="200" w:line="276" w:lineRule="auto"/>
        <w:rPr>
          <w:rFonts w:ascii="Bahnschrift" w:eastAsia="Bahnschrift" w:hAnsi="Bahnschrift" w:cs="Bahnschrift"/>
          <w:sz w:val="16"/>
          <w:szCs w:val="16"/>
        </w:rPr>
      </w:pPr>
    </w:p>
    <w:p w14:paraId="7825427B" w14:textId="77777777" w:rsidR="00143264" w:rsidRDefault="003E5D93">
      <w:pPr>
        <w:widowControl/>
        <w:spacing w:after="200" w:line="276" w:lineRule="auto"/>
      </w:pPr>
      <w:r>
        <w:br w:type="page"/>
      </w:r>
    </w:p>
    <w:tbl>
      <w:tblPr>
        <w:tblW w:w="14294" w:type="dxa"/>
        <w:jc w:val="center"/>
        <w:tblLayout w:type="fixed"/>
        <w:tblCellMar>
          <w:left w:w="76" w:type="dxa"/>
        </w:tblCellMar>
        <w:tblLook w:val="04A0" w:firstRow="1" w:lastRow="0" w:firstColumn="1" w:lastColumn="0" w:noHBand="0" w:noVBand="1"/>
      </w:tblPr>
      <w:tblGrid>
        <w:gridCol w:w="1635"/>
        <w:gridCol w:w="5617"/>
        <w:gridCol w:w="7042"/>
      </w:tblGrid>
      <w:tr w:rsidR="00143264" w14:paraId="60FD4461" w14:textId="77777777">
        <w:trPr>
          <w:cantSplit/>
          <w:trHeight w:val="300"/>
          <w:tblHeader/>
          <w:jc w:val="center"/>
        </w:trPr>
        <w:tc>
          <w:tcPr>
            <w:tcW w:w="14294" w:type="dxa"/>
            <w:gridSpan w:val="3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874673D" w14:textId="77777777" w:rsidR="00143264" w:rsidRDefault="003E5D93">
            <w:pPr>
              <w:pageBreakBefore/>
              <w:widowControl/>
              <w:spacing w:after="40" w:line="480" w:lineRule="auto"/>
              <w:jc w:val="center"/>
              <w:rPr>
                <w:rFonts w:ascii="Bahnschrift" w:hAnsi="Bahnschrift" w:cs="Tahoma"/>
                <w:b/>
                <w:bCs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b/>
                <w:bCs/>
                <w:sz w:val="16"/>
                <w:szCs w:val="16"/>
                <w:lang w:eastAsia="en-US" w:bidi="ar-SA"/>
              </w:rPr>
              <w:lastRenderedPageBreak/>
              <w:t>Stacja dokująca, ilość – 100 sztuk</w:t>
            </w:r>
          </w:p>
          <w:p w14:paraId="34A9610F" w14:textId="77777777" w:rsidR="00143264" w:rsidRDefault="003E5D93">
            <w:pPr>
              <w:widowControl/>
              <w:snapToGrid w:val="0"/>
              <w:spacing w:before="40" w:after="40"/>
              <w:jc w:val="center"/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Producent ………………… model/typ ……………………………</w:t>
            </w:r>
          </w:p>
        </w:tc>
      </w:tr>
      <w:tr w:rsidR="00143264" w14:paraId="6AFC35A9" w14:textId="77777777">
        <w:trPr>
          <w:cantSplit/>
          <w:trHeight w:val="300"/>
          <w:tblHeader/>
          <w:jc w:val="center"/>
        </w:trPr>
        <w:tc>
          <w:tcPr>
            <w:tcW w:w="1635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F352576" w14:textId="77777777" w:rsidR="00143264" w:rsidRDefault="003E5D93">
            <w:pPr>
              <w:widowControl/>
              <w:spacing w:before="40" w:after="40"/>
              <w:jc w:val="center"/>
            </w:pPr>
            <w:r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Podzespół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64EB131B" w14:textId="77777777" w:rsidR="00143264" w:rsidRDefault="003E5D93">
            <w:pPr>
              <w:widowControl/>
              <w:spacing w:before="40" w:after="40"/>
              <w:jc w:val="center"/>
              <w:rPr>
                <w:rFonts w:ascii="Bahnschrift" w:hAnsi="Bahnschrift" w:cs="Tahoma"/>
                <w:b/>
                <w:bCs/>
                <w:sz w:val="16"/>
                <w:szCs w:val="16"/>
                <w:lang w:eastAsia="en-US" w:bidi="ar-SA"/>
              </w:rPr>
            </w:pPr>
            <w:r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 xml:space="preserve">Minimalne parametry </w:t>
            </w:r>
            <w:r>
              <w:rPr>
                <w:rFonts w:ascii="Bahnschrift" w:hAnsi="Bahnschrift" w:cs="Tahoma"/>
                <w:b/>
                <w:bCs/>
                <w:sz w:val="16"/>
                <w:szCs w:val="16"/>
                <w:lang w:eastAsia="en-US" w:bidi="ar-SA"/>
              </w:rPr>
              <w:t>wymagane przez Zamawiającego</w:t>
            </w:r>
          </w:p>
        </w:tc>
        <w:tc>
          <w:tcPr>
            <w:tcW w:w="704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2948DABC" w14:textId="77777777" w:rsidR="00143264" w:rsidRDefault="003E5D93">
            <w:pPr>
              <w:widowControl/>
              <w:snapToGrid w:val="0"/>
              <w:spacing w:before="40" w:after="40"/>
              <w:jc w:val="center"/>
            </w:pPr>
            <w:r>
              <w:rPr>
                <w:rFonts w:ascii="Bahnschrift" w:hAnsi="Bahnschrift" w:cs="Tahoma"/>
                <w:b/>
                <w:sz w:val="16"/>
                <w:szCs w:val="16"/>
                <w:lang w:eastAsia="en-US" w:bidi="ar-SA"/>
              </w:rPr>
              <w:t>Parametry techniczne oferowanego sprzętu</w:t>
            </w:r>
          </w:p>
        </w:tc>
      </w:tr>
      <w:tr w:rsidR="00143264" w14:paraId="0B4E2A93" w14:textId="77777777">
        <w:trPr>
          <w:cantSplit/>
          <w:trHeight w:val="1830"/>
          <w:jc w:val="center"/>
        </w:trPr>
        <w:tc>
          <w:tcPr>
            <w:tcW w:w="163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8A38CA7" w14:textId="77777777" w:rsidR="00143264" w:rsidRDefault="003E5D93">
            <w:pPr>
              <w:widowControl/>
              <w:spacing w:before="40" w:after="40"/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Porty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557D109" w14:textId="77777777" w:rsidR="00143264" w:rsidRDefault="003E5D93">
            <w:pPr>
              <w:widowControl/>
              <w:spacing w:after="52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DC-in (wejście zasilania) - 1 szt.</w:t>
            </w:r>
          </w:p>
          <w:p w14:paraId="643EDEFC" w14:textId="5ABD0EAD" w:rsidR="00143264" w:rsidRDefault="003E5D93">
            <w:pPr>
              <w:widowControl/>
              <w:spacing w:after="52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USB </w:t>
            </w:r>
            <w:proofErr w:type="spellStart"/>
            <w:r>
              <w:rPr>
                <w:rFonts w:ascii="Bahnschrift" w:eastAsia="Bahnschrift" w:hAnsi="Bahnschrift" w:cs="Bahnschrift"/>
                <w:sz w:val="16"/>
                <w:szCs w:val="16"/>
              </w:rPr>
              <w:t>Type</w:t>
            </w:r>
            <w:proofErr w:type="spellEnd"/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-A 5 </w:t>
            </w:r>
            <w:proofErr w:type="spellStart"/>
            <w:r>
              <w:rPr>
                <w:rFonts w:ascii="Bahnschrift" w:eastAsia="Bahnschrift" w:hAnsi="Bahnschrift" w:cs="Bahnschrift"/>
                <w:sz w:val="16"/>
                <w:szCs w:val="16"/>
              </w:rPr>
              <w:t>Gbps</w:t>
            </w:r>
            <w:proofErr w:type="spellEnd"/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 lub szybszy – min. </w:t>
            </w:r>
            <w:r w:rsidR="002253D3">
              <w:rPr>
                <w:rFonts w:ascii="Bahnschrift" w:eastAsia="Bahnschrift" w:hAnsi="Bahnschrift" w:cs="Bahnschrift"/>
                <w:sz w:val="16"/>
                <w:szCs w:val="16"/>
              </w:rPr>
              <w:t>3</w:t>
            </w:r>
            <w:r>
              <w:rPr>
                <w:rFonts w:ascii="Bahnschrift" w:eastAsia="Bahnschrift" w:hAnsi="Bahnschrift" w:cs="Bahnschrift"/>
                <w:sz w:val="16"/>
                <w:szCs w:val="16"/>
              </w:rPr>
              <w:t xml:space="preserve"> szt.</w:t>
            </w:r>
          </w:p>
          <w:p w14:paraId="5AFD51C5" w14:textId="77777777" w:rsidR="00143264" w:rsidRPr="008A7CF7" w:rsidRDefault="003E5D93">
            <w:pPr>
              <w:widowControl/>
              <w:spacing w:after="52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 w:rsidRPr="008A7CF7">
              <w:rPr>
                <w:rFonts w:ascii="Bahnschrift" w:eastAsia="Bahnschrift" w:hAnsi="Bahnschrift" w:cs="Bahnschrift"/>
                <w:sz w:val="16"/>
                <w:szCs w:val="16"/>
              </w:rPr>
              <w:t>USB Type-C 10 Gbps lub szybszy – min. 1 szt.</w:t>
            </w:r>
          </w:p>
          <w:p w14:paraId="4336E5CE" w14:textId="77777777" w:rsidR="00143264" w:rsidRDefault="003E5D93">
            <w:pPr>
              <w:widowControl/>
              <w:spacing w:after="52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Odrębny dedykowany port USB Type-C 10 Gbps lub szybszy, służący jednocześnie do podłączenia stacji dokującej do notebooka oraz do zasilania notebooka – 1 szt.</w:t>
            </w:r>
          </w:p>
          <w:p w14:paraId="2C1AF79D" w14:textId="77777777" w:rsidR="00143264" w:rsidRDefault="003E5D93">
            <w:pPr>
              <w:widowControl/>
              <w:spacing w:after="52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10/100/1000 Ethernet RJ45 – min 1 szt.</w:t>
            </w:r>
          </w:p>
          <w:p w14:paraId="219A0B78" w14:textId="77777777" w:rsidR="00143264" w:rsidRDefault="003E5D93">
            <w:pPr>
              <w:widowControl/>
              <w:spacing w:after="52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DisplayPort 1.4 lub nowszy – min. 2 szt.</w:t>
            </w:r>
          </w:p>
          <w:p w14:paraId="2DB6AE5F" w14:textId="77777777" w:rsidR="00143264" w:rsidRDefault="003E5D93">
            <w:pPr>
              <w:widowControl/>
              <w:spacing w:before="40" w:after="52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HDMI 2.0 lub nowszy – min. 1 szt.</w:t>
            </w:r>
          </w:p>
        </w:tc>
        <w:tc>
          <w:tcPr>
            <w:tcW w:w="7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44C39B1" w14:textId="77777777" w:rsidR="00143264" w:rsidRDefault="00143264">
            <w:pPr>
              <w:widowControl/>
              <w:snapToGrid w:val="0"/>
              <w:spacing w:line="360" w:lineRule="auto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143264" w14:paraId="43C5A89F" w14:textId="77777777">
        <w:trPr>
          <w:cantSplit/>
          <w:trHeight w:val="300"/>
          <w:jc w:val="center"/>
        </w:trPr>
        <w:tc>
          <w:tcPr>
            <w:tcW w:w="163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0C3F2C3" w14:textId="77777777" w:rsidR="00143264" w:rsidRDefault="003E5D93">
            <w:pPr>
              <w:widowControl/>
              <w:spacing w:before="40" w:after="40"/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Zasilanie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84506DF" w14:textId="77777777" w:rsidR="00143264" w:rsidRDefault="003E5D93">
            <w:pPr>
              <w:widowControl/>
              <w:spacing w:before="40" w:after="40"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Sieciowe dla terytorium Polski, moc zasilacza co najmniej 135 W, ładowanie notebooka z mocą co najmniej do 100 W.</w:t>
            </w:r>
          </w:p>
        </w:tc>
        <w:tc>
          <w:tcPr>
            <w:tcW w:w="7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B255F4B" w14:textId="77777777" w:rsidR="00143264" w:rsidRDefault="00143264">
            <w:pPr>
              <w:widowControl/>
              <w:spacing w:before="40" w:after="40"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143264" w14:paraId="59492A3E" w14:textId="77777777">
        <w:trPr>
          <w:cantSplit/>
          <w:trHeight w:val="300"/>
          <w:jc w:val="center"/>
        </w:trPr>
        <w:tc>
          <w:tcPr>
            <w:tcW w:w="163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0E2B694" w14:textId="77777777" w:rsidR="00143264" w:rsidRDefault="003E5D93">
            <w:pPr>
              <w:widowControl/>
              <w:spacing w:before="40" w:after="40"/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Kompatybilność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48304EF" w14:textId="77777777" w:rsidR="00143264" w:rsidRDefault="003E5D93">
            <w:pPr>
              <w:widowControl/>
              <w:jc w:val="both"/>
              <w:rPr>
                <w:rFonts w:ascii="Bahnschrift" w:eastAsia="Bahnschrift" w:hAnsi="Bahnschrift" w:cs="Bahnschrift"/>
                <w:sz w:val="16"/>
                <w:szCs w:val="16"/>
              </w:rPr>
            </w:pPr>
            <w:r>
              <w:rPr>
                <w:rFonts w:ascii="Bahnschrift" w:eastAsia="Bahnschrift" w:hAnsi="Bahnschrift" w:cs="Bahnschrift"/>
                <w:sz w:val="16"/>
                <w:szCs w:val="16"/>
              </w:rPr>
              <w:t>Z oferowanym komputerem oraz z systemami operacyjnymi z rodziny Microsoft Windows 11.</w:t>
            </w:r>
          </w:p>
        </w:tc>
        <w:tc>
          <w:tcPr>
            <w:tcW w:w="7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161355F" w14:textId="77777777" w:rsidR="00143264" w:rsidRDefault="00143264">
            <w:pPr>
              <w:widowControl/>
              <w:rPr>
                <w:rFonts w:ascii="Bahnschrift" w:hAnsi="Bahnschrift" w:cs="Tahoma"/>
                <w:sz w:val="16"/>
                <w:szCs w:val="16"/>
                <w:lang w:eastAsia="en-US" w:bidi="ar-SA"/>
              </w:rPr>
            </w:pPr>
          </w:p>
        </w:tc>
      </w:tr>
      <w:tr w:rsidR="00143264" w14:paraId="795F6109" w14:textId="77777777">
        <w:trPr>
          <w:cantSplit/>
          <w:trHeight w:val="300"/>
          <w:jc w:val="center"/>
        </w:trPr>
        <w:tc>
          <w:tcPr>
            <w:tcW w:w="1635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6E67738" w14:textId="77777777" w:rsidR="00143264" w:rsidRDefault="003E5D93">
            <w:pPr>
              <w:widowControl/>
              <w:spacing w:before="40" w:after="40"/>
            </w:pPr>
            <w:r>
              <w:rPr>
                <w:rFonts w:ascii="Bahnschrift" w:hAnsi="Bahnschrift" w:cs="Tahoma"/>
                <w:sz w:val="16"/>
                <w:szCs w:val="16"/>
                <w:lang w:eastAsia="en-US" w:bidi="ar-SA"/>
              </w:rPr>
              <w:t>Zabezpieczenie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3278925C" w14:textId="77777777" w:rsidR="00143264" w:rsidRDefault="003E5D93">
            <w:pPr>
              <w:widowControl/>
              <w:spacing w:before="40" w:after="40"/>
              <w:jc w:val="both"/>
            </w:pPr>
            <w:r>
              <w:rPr>
                <w:rFonts w:ascii="Bahnschrift" w:eastAsia="Bahnschrift" w:hAnsi="Bahnschrift" w:cs="Bahnschrift"/>
                <w:sz w:val="16"/>
                <w:szCs w:val="16"/>
                <w:lang w:eastAsia="en-US" w:bidi="ar-SA"/>
              </w:rPr>
              <w:t>Złącze antykradzieżowe - możliwość zabezpieczenia linką metalową.</w:t>
            </w:r>
          </w:p>
        </w:tc>
        <w:tc>
          <w:tcPr>
            <w:tcW w:w="704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693A64B" w14:textId="77777777" w:rsidR="00143264" w:rsidRDefault="00143264">
            <w:pPr>
              <w:widowControl/>
              <w:rPr>
                <w:rFonts w:ascii="Bahnschrift" w:hAnsi="Bahnschrift"/>
              </w:rPr>
            </w:pPr>
          </w:p>
        </w:tc>
      </w:tr>
    </w:tbl>
    <w:p w14:paraId="4E4A956C" w14:textId="77777777" w:rsidR="00143264" w:rsidRDefault="00143264">
      <w:pPr>
        <w:widowControl/>
        <w:spacing w:after="200" w:line="276" w:lineRule="auto"/>
        <w:jc w:val="center"/>
        <w:rPr>
          <w:rFonts w:ascii="Bahnschrift" w:hAnsi="Bahnschrift" w:cs="Tahoma"/>
          <w:b/>
          <w:sz w:val="28"/>
          <w:szCs w:val="28"/>
          <w:lang w:eastAsia="en-US" w:bidi="ar-SA"/>
        </w:rPr>
      </w:pPr>
    </w:p>
    <w:sectPr w:rsidR="00143264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A0C75" w14:textId="77777777" w:rsidR="00DD31E3" w:rsidRDefault="00DD31E3">
      <w:r>
        <w:separator/>
      </w:r>
    </w:p>
  </w:endnote>
  <w:endnote w:type="continuationSeparator" w:id="0">
    <w:p w14:paraId="565B396A" w14:textId="77777777" w:rsidR="00DD31E3" w:rsidRDefault="00DD3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995" w:type="dxa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00143264" w14:paraId="1DE332AE" w14:textId="77777777">
      <w:trPr>
        <w:trHeight w:val="300"/>
      </w:trPr>
      <w:tc>
        <w:tcPr>
          <w:tcW w:w="4665" w:type="dxa"/>
        </w:tcPr>
        <w:p w14:paraId="0A960F1E" w14:textId="77777777" w:rsidR="00143264" w:rsidRDefault="00143264">
          <w:pPr>
            <w:pStyle w:val="Nagwek"/>
            <w:ind w:left="-115"/>
          </w:pPr>
        </w:p>
      </w:tc>
      <w:tc>
        <w:tcPr>
          <w:tcW w:w="4665" w:type="dxa"/>
        </w:tcPr>
        <w:p w14:paraId="39CE96B0" w14:textId="77777777" w:rsidR="00143264" w:rsidRDefault="00143264">
          <w:pPr>
            <w:pStyle w:val="Nagwek"/>
            <w:jc w:val="center"/>
          </w:pPr>
        </w:p>
      </w:tc>
      <w:tc>
        <w:tcPr>
          <w:tcW w:w="4665" w:type="dxa"/>
        </w:tcPr>
        <w:p w14:paraId="4577BEE5" w14:textId="77777777" w:rsidR="00143264" w:rsidRDefault="00143264">
          <w:pPr>
            <w:pStyle w:val="Nagwek"/>
            <w:ind w:right="-115"/>
            <w:jc w:val="right"/>
          </w:pPr>
        </w:p>
      </w:tc>
    </w:tr>
  </w:tbl>
  <w:p w14:paraId="301C0EBC" w14:textId="77777777" w:rsidR="00143264" w:rsidRDefault="001432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995" w:type="dxa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00143264" w14:paraId="70066F68" w14:textId="77777777">
      <w:trPr>
        <w:trHeight w:val="300"/>
      </w:trPr>
      <w:tc>
        <w:tcPr>
          <w:tcW w:w="4665" w:type="dxa"/>
        </w:tcPr>
        <w:p w14:paraId="1BCCB54C" w14:textId="77777777" w:rsidR="00143264" w:rsidRDefault="00143264">
          <w:pPr>
            <w:pStyle w:val="Nagwek"/>
            <w:ind w:left="-115"/>
          </w:pPr>
        </w:p>
      </w:tc>
      <w:tc>
        <w:tcPr>
          <w:tcW w:w="4665" w:type="dxa"/>
        </w:tcPr>
        <w:p w14:paraId="1753F144" w14:textId="77777777" w:rsidR="00143264" w:rsidRDefault="00143264">
          <w:pPr>
            <w:pStyle w:val="Nagwek"/>
            <w:jc w:val="center"/>
          </w:pPr>
        </w:p>
      </w:tc>
      <w:tc>
        <w:tcPr>
          <w:tcW w:w="4665" w:type="dxa"/>
        </w:tcPr>
        <w:p w14:paraId="0A5B6A37" w14:textId="77777777" w:rsidR="00143264" w:rsidRDefault="00143264">
          <w:pPr>
            <w:pStyle w:val="Nagwek"/>
            <w:ind w:right="-115"/>
            <w:jc w:val="right"/>
          </w:pPr>
        </w:p>
      </w:tc>
    </w:tr>
  </w:tbl>
  <w:p w14:paraId="41ECE829" w14:textId="77777777" w:rsidR="00143264" w:rsidRDefault="00143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B8FF2" w14:textId="77777777" w:rsidR="00DD31E3" w:rsidRDefault="00DD31E3">
      <w:r>
        <w:separator/>
      </w:r>
    </w:p>
  </w:footnote>
  <w:footnote w:type="continuationSeparator" w:id="0">
    <w:p w14:paraId="33C618D2" w14:textId="77777777" w:rsidR="00DD31E3" w:rsidRDefault="00DD3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99CDA" w14:textId="0644226C" w:rsidR="00DA3C7F" w:rsidRDefault="00DA3C7F" w:rsidP="00DA3C7F">
    <w:pPr>
      <w:pStyle w:val="Nagwek"/>
      <w:jc w:val="right"/>
      <w:rPr>
        <w:rFonts w:ascii="Bahnschrift" w:eastAsiaTheme="minorHAnsi" w:hAnsi="Bahnschrift" w:cstheme="minorBidi"/>
        <w:kern w:val="0"/>
        <w:sz w:val="20"/>
        <w:szCs w:val="20"/>
        <w:lang w:eastAsia="en-US"/>
      </w:rPr>
    </w:pPr>
    <w:r>
      <w:rPr>
        <w:rFonts w:ascii="Bahnschrift" w:hAnsi="Bahnschrift"/>
        <w:sz w:val="20"/>
        <w:szCs w:val="20"/>
      </w:rPr>
      <w:t>Załącznik nr 2B do SWZ DZP.382.2.48.2024</w:t>
    </w:r>
  </w:p>
  <w:p w14:paraId="6E775965" w14:textId="77777777" w:rsidR="00143264" w:rsidRDefault="001432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25537" w14:textId="77777777" w:rsidR="00143264" w:rsidRDefault="003E5D93">
    <w:pPr>
      <w:ind w:left="928" w:right="83"/>
      <w:jc w:val="right"/>
      <w:rPr>
        <w:rFonts w:ascii="Bahnschrift" w:hAnsi="Bahnschrift"/>
        <w:sz w:val="20"/>
        <w:szCs w:val="20"/>
      </w:rPr>
    </w:pPr>
    <w:r>
      <w:rPr>
        <w:rFonts w:ascii="Bahnschrift" w:hAnsi="Bahnschrift"/>
        <w:sz w:val="20"/>
        <w:szCs w:val="20"/>
      </w:rPr>
      <w:t xml:space="preserve">Załącznik nr 2B do </w:t>
    </w:r>
    <w:r>
      <w:rPr>
        <w:rFonts w:ascii="Bahnschrift" w:hAnsi="Bahnschrift"/>
        <w:color w:val="FF0000"/>
        <w:sz w:val="20"/>
        <w:szCs w:val="20"/>
      </w:rPr>
      <w:t>...</w:t>
    </w:r>
  </w:p>
  <w:p w14:paraId="665C1058" w14:textId="77777777" w:rsidR="00143264" w:rsidRDefault="001432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9A9"/>
    <w:multiLevelType w:val="multilevel"/>
    <w:tmpl w:val="2BC0E3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29C74A7"/>
    <w:multiLevelType w:val="multilevel"/>
    <w:tmpl w:val="03D436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MTRmNGFmODUtYzU1YS00YTljLTk2NzAtZDQwOGU1Mzg3MjUwIg0KfQ=="/>
    <w:docVar w:name="GVData0" w:val="(end)"/>
  </w:docVars>
  <w:rsids>
    <w:rsidRoot w:val="00143264"/>
    <w:rsid w:val="000E74A9"/>
    <w:rsid w:val="00143264"/>
    <w:rsid w:val="001A6927"/>
    <w:rsid w:val="001D3E38"/>
    <w:rsid w:val="002253D3"/>
    <w:rsid w:val="003254BC"/>
    <w:rsid w:val="003E5D93"/>
    <w:rsid w:val="004C6C6A"/>
    <w:rsid w:val="007C23BB"/>
    <w:rsid w:val="008A7CF7"/>
    <w:rsid w:val="00910E46"/>
    <w:rsid w:val="00A40FB6"/>
    <w:rsid w:val="00B22983"/>
    <w:rsid w:val="00DA3C7F"/>
    <w:rsid w:val="00DD31E3"/>
    <w:rsid w:val="00E13522"/>
    <w:rsid w:val="00FD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2A760"/>
  <w15:docId w15:val="{3E038EA6-5398-4E73-BBDD-C6B3AEE7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7C7C"/>
    <w:pPr>
      <w:widowControl w:val="0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basedOn w:val="Domylnaczcionkaakapitu"/>
    <w:uiPriority w:val="99"/>
    <w:rsid w:val="00D67C7C"/>
    <w:rPr>
      <w:color w:val="0563C1" w:themeColor="hyperlink"/>
      <w:u w:val="single"/>
    </w:rPr>
  </w:style>
  <w:style w:type="character" w:customStyle="1" w:styleId="1TableTextZnak">
    <w:name w:val="1Table_Text Znak"/>
    <w:link w:val="1TableText"/>
    <w:qFormat/>
    <w:locked/>
    <w:rsid w:val="00D67C7C"/>
    <w:rPr>
      <w:rFonts w:ascii="Cambria" w:eastAsia="Calibri" w:hAnsi="Cambria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UyteHipercze">
    <w:name w:val="FollowedHyperlink"/>
    <w:basedOn w:val="Domylnaczcionkaakapitu"/>
    <w:uiPriority w:val="99"/>
    <w:semiHidden/>
    <w:unhideWhenUsed/>
    <w:rsid w:val="008A2942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CF06D7"/>
    <w:rPr>
      <w:color w:val="605E5C"/>
      <w:shd w:val="clear" w:color="auto" w:fill="E1DFDD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Arial Unicode MS"/>
    </w:rPr>
  </w:style>
  <w:style w:type="paragraph" w:customStyle="1" w:styleId="1TableText">
    <w:name w:val="1Table_Text"/>
    <w:link w:val="1TableTextZnak"/>
    <w:qFormat/>
    <w:rsid w:val="00D67C7C"/>
    <w:pPr>
      <w:keepLines/>
      <w:tabs>
        <w:tab w:val="left" w:pos="2268"/>
      </w:tabs>
      <w:spacing w:before="60" w:after="60"/>
    </w:pPr>
    <w:rPr>
      <w:rFonts w:ascii="Cambria" w:hAnsi="Cambri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</w:p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A7C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7CF7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7CF7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7C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7CF7"/>
    <w:rPr>
      <w:rFonts w:ascii="Times New Roman" w:eastAsia="SimSun" w:hAnsi="Times New Roman" w:cs="Mangal"/>
      <w:b/>
      <w:bCs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7CF7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7CF7"/>
    <w:rPr>
      <w:rFonts w:ascii="Segoe UI" w:eastAsia="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2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videocardbenchmark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pubenchmark.net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AFE64-1B67-4DF5-B7E2-8F91E2981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1268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Silesia in Katowice</Company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Damian Ludwikowski</cp:lastModifiedBy>
  <cp:revision>11</cp:revision>
  <dcterms:created xsi:type="dcterms:W3CDTF">2024-10-28T08:36:00Z</dcterms:created>
  <dcterms:modified xsi:type="dcterms:W3CDTF">2024-12-11T09:58:00Z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ew0KICAiZG9jSUQiOiAiMTRmNGFmODUtYzU1YS00YTljLTk2NzAtZDQwOGU1Mzg3MjUwIg0KfQ==</vt:lpwstr>
  </property>
  <property fmtid="{D5CDD505-2E9C-101B-9397-08002B2CF9AE}" pid="3" name="GVData0">
    <vt:lpwstr>(end)</vt:lpwstr>
  </property>
</Properties>
</file>