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C9" w:rsidRDefault="00FD41C9" w:rsidP="00FD41C9">
      <w:pPr>
        <w:ind w:left="7080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10 </w:t>
      </w:r>
    </w:p>
    <w:p w:rsidR="00030D41" w:rsidRPr="007431F0" w:rsidRDefault="00170A4E">
      <w:pPr>
        <w:rPr>
          <w:rFonts w:cstheme="minorHAnsi"/>
          <w:sz w:val="20"/>
          <w:szCs w:val="20"/>
        </w:rPr>
      </w:pPr>
      <w:r w:rsidRPr="007431F0">
        <w:rPr>
          <w:rFonts w:cstheme="minorHAnsi"/>
          <w:sz w:val="20"/>
          <w:szCs w:val="20"/>
        </w:rPr>
        <w:t xml:space="preserve">Kryterium - </w:t>
      </w:r>
      <w:r w:rsidR="007A1E3E" w:rsidRPr="007431F0">
        <w:rPr>
          <w:rFonts w:cstheme="minorHAnsi"/>
          <w:sz w:val="20"/>
          <w:szCs w:val="20"/>
        </w:rPr>
        <w:t>ocena funkcjonalności:</w:t>
      </w:r>
    </w:p>
    <w:p w:rsidR="007A1E3E" w:rsidRPr="007431F0" w:rsidRDefault="007A1E3E">
      <w:pPr>
        <w:rPr>
          <w:rFonts w:cstheme="minorHAnsi"/>
          <w:sz w:val="20"/>
          <w:szCs w:val="20"/>
        </w:rPr>
      </w:pPr>
    </w:p>
    <w:tbl>
      <w:tblPr>
        <w:tblW w:w="4861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9"/>
        <w:gridCol w:w="4458"/>
        <w:gridCol w:w="1926"/>
        <w:gridCol w:w="1823"/>
      </w:tblGrid>
      <w:tr w:rsidR="007A1E3E" w:rsidRPr="007431F0" w:rsidTr="00DA356A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E" w:rsidRPr="007431F0" w:rsidRDefault="007A1E3E" w:rsidP="00DA356A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7431F0">
              <w:rPr>
                <w:rFonts w:eastAsia="Calibri" w:cstheme="minorHAnsi"/>
                <w:sz w:val="20"/>
                <w:szCs w:val="20"/>
                <w:lang w:val="en-US"/>
              </w:rPr>
              <w:t>Lp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3E" w:rsidRPr="007431F0" w:rsidRDefault="007A1E3E" w:rsidP="00DA356A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color w:val="000000"/>
                <w:sz w:val="20"/>
                <w:szCs w:val="20"/>
              </w:rPr>
              <w:t>Podać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color w:val="000000"/>
                <w:sz w:val="20"/>
                <w:szCs w:val="20"/>
              </w:rPr>
              <w:t>(deklaracja wykonawcy)</w:t>
            </w:r>
          </w:p>
        </w:tc>
      </w:tr>
      <w:tr w:rsidR="007A1E3E" w:rsidRPr="007431F0" w:rsidTr="00DA356A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0C1C9B" w:rsidP="00170A4E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W okresie </w:t>
            </w:r>
            <w:r w:rsidR="007A1E3E" w:rsidRPr="007431F0">
              <w:rPr>
                <w:rFonts w:eastAsia="Calibri" w:cstheme="minorHAnsi"/>
                <w:sz w:val="20"/>
                <w:szCs w:val="20"/>
              </w:rPr>
              <w:t>Wykonawca zapewni archiwizację min. 15 TB danych DICOM w zewnętrznym Data Center przechowującym kopie danych w minimum dwóch oddzielnych fizycznych lokalizacjach. Data Center w których przechowywane są dane muszą posiadać min. certyfikat zgodności z normą ISO/IEC 27018, ISO/IEC 27001, ISO/IEC 27701 oraz certyfikat bezpieczeństwa informacji CSA STAR CCM v4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TAK</w:t>
            </w:r>
          </w:p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15 TB – 0 pkt</w:t>
            </w:r>
          </w:p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60 TB – 30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208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Możliwość automatycznego umieszczania w szablonach opisów fraz w oparciu o dane z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tagów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DICOM oraz dane wprowadzone w systemie, w tym minimum powiązane z badaniem dane dotyczące: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sumarycznych dawek dla wszystkich powiązanych z badaniem ekspozycji (min. DLP, CTDI, SSDE dla TK oraz DLP,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mAs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kVp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dla RTG)  użytych kontrastów i leków (ilość, rodzaj, droga podania)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działań niepożądanych po dożylnym podaniu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kontarstu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(opis, data wystąpienia)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poziom kreatyniny i GFR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waga i wzrost pacjenta, BMI dla pacjentów &gt;18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rż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nazwy poszczególnych serii (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Series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Description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>),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dostarczonych przez pacjenta i dostępnych w systemie poprzednich badań obrazowych pacjenta (modalności, daty wykonania, nazwy)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sumarycznej liczby serii i obrazów w badaniu,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danych klinicznych podanych na zleceniu/e-skierowaniu,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rozpoznań ICD10 wraz z opisem tekstowym kodów podanych na zleceniu/e-skierowaniu,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3" w:hanging="425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celu badania określonego na zleceniu/e-skierowaniu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Tak (podać)</w:t>
            </w:r>
            <w:r w:rsidRPr="007431F0">
              <w:rPr>
                <w:rFonts w:eastAsia="Calibri" w:cstheme="minorHAnsi"/>
                <w:sz w:val="20"/>
                <w:szCs w:val="20"/>
              </w:rPr>
              <w:br/>
              <w:t xml:space="preserve">min. 5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ppkt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– 0 pkt 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za każdy dodatkowy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ppkt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>. – 5 pkt  (maks. 25 pkt)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210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Możliwość opisu z użyciem raportów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strukturyzowanych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zapewniających minimum: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pola jednokrotnego wyboru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pola wielokrotnego wyboru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pole tekstowe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pola numeryczne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graficzne komponenty z możliwością </w:t>
            </w:r>
            <w:r w:rsidRPr="007431F0">
              <w:rPr>
                <w:rFonts w:eastAsia="Calibri" w:cstheme="minorHAnsi"/>
                <w:sz w:val="20"/>
                <w:szCs w:val="20"/>
              </w:rPr>
              <w:lastRenderedPageBreak/>
              <w:t xml:space="preserve">oznaczania kilku obszarów zainteresowania z oznaczeniem kolejnych obszarów różnymi kolorami i numerami (np. obrysy patologii na schemacie prostaty),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widoczność elementów opisu uzależniona od wartości innych powiązanych pól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możliwość określenia reguł walidacji pola   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kalkulator prawdopodobieństwa złośliwości guzków płuc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>. Brocka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kalkulator objętości prostaty i zmian stwierdzanych w prostacie na podstawie podania podstawowych pomiarów 2D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metodologii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v.2.1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kalkulator kategorii zmiany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skali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2.1 w oparciu o ocenę cząstkową zmian w poszczególnych sekwencjach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automatyczne określanie lokalizacji zmiany w prostacie na podstawie obrysu zmiany przez użytkownika na schemacie prostaty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v. 2.1, z umieszczeniem w opisie min. stref w których zlokalizowana jest zmiana oraz sektorów zgodnych z skalą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2.1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lastRenderedPageBreak/>
              <w:t xml:space="preserve">TAK / NIE 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Nie – 0 pkt 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Tak – 20 pkt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lastRenderedPageBreak/>
              <w:t>211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Możliwość użycia raportów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strukturyzowanych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do opisu TK klatki piersiowej z wbudowanym min.: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kalkulatorem prawdopodobieństwa złośliwości guzków płuc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>. Brocka,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kryteriami oceny guzków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Lung-RADS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kryteriami oceny guzków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>. BTS,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możliwością określenia rodzajów guzków płuc z podziałem na lite, częściowo-lite i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nielite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możliwość wprowadzenia VDT dla każdego z guzków osobno.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TAK / NIE 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br/>
              <w:t xml:space="preserve">Nie – 0 pkt 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Tak – 20 pkt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212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Możliwość użycia raportów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strukturyzowanych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do opisu MR prostaty, posiadających min.: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kalkulator objętości prostaty i zmian stwierdzanych w prostacie na podstawie podania podstawowych pomiarów 2D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metodologii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v.2.1,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kalkulator gęstości PSA w oparciu o wprowadzoną wartość PSA i objętość prostaty,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kalkulator kategorii zmiany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skali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2.1 w oparciu o ocenę cząstkową zmian w poszczególnych sekwencjach z uwzględnieniem lokalizacji zmian,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możliwość określenia klasyfikacji TNM w opisie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strukturyzowanym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automatyczne określanie lokalizacji zmiany w prostacie na podstawie obrysu zmiany przez użytkownika na schemacie prostaty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v. 2.1, z umieszczeniem w opisie min. stref w których zlokalizowana </w:t>
            </w:r>
            <w:r w:rsidRPr="007431F0">
              <w:rPr>
                <w:rFonts w:eastAsia="Calibri" w:cstheme="minorHAnsi"/>
                <w:sz w:val="20"/>
                <w:szCs w:val="20"/>
              </w:rPr>
              <w:lastRenderedPageBreak/>
              <w:t xml:space="preserve">jest zmiana oraz sektorów zgodnych z skalą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2.1, </w:t>
            </w:r>
          </w:p>
          <w:p w:rsidR="007A1E3E" w:rsidRPr="007431F0" w:rsidRDefault="007A1E3E" w:rsidP="007A1E3E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dołączanie schematu prostaty wraz z utworzonymi obrysami zmian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wg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.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PI-RADS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v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lastRenderedPageBreak/>
              <w:t xml:space="preserve">TAK / NIE 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br/>
              <w:t xml:space="preserve">Nie – 0 pkt </w:t>
            </w:r>
          </w:p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Tak – 20 pkt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lastRenderedPageBreak/>
              <w:t>368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System musi posiadać wbudowaną Sztuczną inteligencję w zakresie detekcji i oceny udaru mózgu w badaniu TK bez kontrastu, 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angio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 TK oraz perfuzji TK, obejmującej również zautomatyzowaną ocenę wg skali ASPECTS.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TAK / NIE 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NIE – 0pkt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 Tak- 10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7A1E3E" w:rsidRPr="007431F0" w:rsidRDefault="007A1E3E" w:rsidP="00DA356A">
            <w:pPr>
              <w:widowControl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369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System musi posiadać wbudowaną sztuczną inteligencję w zakresie oceny badania RTG klatki piersiowej pod kątem minimum 50 patologii wraz z automatycznym „</w:t>
            </w:r>
            <w:proofErr w:type="spellStart"/>
            <w:r w:rsidRPr="007431F0">
              <w:rPr>
                <w:rFonts w:eastAsia="Calibri" w:cstheme="minorHAnsi"/>
                <w:sz w:val="20"/>
                <w:szCs w:val="20"/>
              </w:rPr>
              <w:t>triage</w:t>
            </w:r>
            <w:proofErr w:type="spellEnd"/>
            <w:r w:rsidRPr="007431F0">
              <w:rPr>
                <w:rFonts w:eastAsia="Calibri" w:cstheme="minorHAnsi"/>
                <w:sz w:val="20"/>
                <w:szCs w:val="20"/>
              </w:rPr>
              <w:t xml:space="preserve">” badań z podziałem minimum na badania pilne oraz prawidłowe w oparciu o wykryte patologie lub ich brak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TAK / NIE 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NIE – 0pkt 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Tak- 10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7A1E3E" w:rsidRPr="007431F0" w:rsidRDefault="007A1E3E" w:rsidP="00DA356A">
            <w:pPr>
              <w:widowControl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370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System musi posiadać wbudowaną sztuczną inteligencję dla badania TK klatki piersiowej pod kątem detekcji i oceny COVID-19, dokonującą analizy procentowego zajęcia płuc w podziale na płaty oraz określenia prawdopodobieństwa występowania COVID-19 u pacjenta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TAK / NIE 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NIE – 0pkt 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Tak- 10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7A1E3E" w:rsidRPr="007431F0" w:rsidRDefault="007A1E3E" w:rsidP="00DA356A">
            <w:pPr>
              <w:widowControl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371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Wszystkie oferowane algorytmy sztucznej inteligencji muszą być wyrobami medycznymi zarejestrowanymi jako wyroby medyczne klasy II.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TAK / NIE 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NIE – 0pkt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 Tak- 10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A1E3E" w:rsidRPr="007431F0" w:rsidTr="00DA356A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3E" w:rsidRPr="007431F0" w:rsidRDefault="007A1E3E" w:rsidP="00DA356A">
            <w:pPr>
              <w:widowControl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372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3E" w:rsidRPr="007431F0" w:rsidRDefault="007A1E3E" w:rsidP="00DA356A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Wyniki algorytmów sztucznej inteligencji muszą być dostępne jako dodatkowe serie obrazów w PACS oraz w edytorze opisu jako gotowe fragmenty opisu możliwe do wklejenia bezpośrednio do opisu i do natychmiastowego zatwierdzenia.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3E" w:rsidRPr="007431F0" w:rsidRDefault="007A1E3E" w:rsidP="00DA356A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TAK / NIE 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NIE – 0pkt</w:t>
            </w:r>
          </w:p>
          <w:p w:rsidR="007A1E3E" w:rsidRPr="007431F0" w:rsidRDefault="007A1E3E" w:rsidP="00DA356A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 xml:space="preserve"> Tak- 10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E" w:rsidRPr="007431F0" w:rsidRDefault="007A1E3E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D5151" w:rsidRPr="007431F0" w:rsidTr="00266F46"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51" w:rsidRPr="007431F0" w:rsidRDefault="006D5151" w:rsidP="006D5151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427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51" w:rsidRPr="007431F0" w:rsidRDefault="006D5151" w:rsidP="00DA356A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7431F0">
              <w:rPr>
                <w:rFonts w:cstheme="minorHAnsi"/>
                <w:sz w:val="20"/>
                <w:szCs w:val="20"/>
              </w:rPr>
              <w:t>Gwarancja i wsparcie w całym okresie licencjonowania systemu minimum 8/5/365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1" w:rsidRPr="007431F0" w:rsidRDefault="006D5151" w:rsidP="00DA356A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31F0">
              <w:rPr>
                <w:rFonts w:cstheme="minorHAnsi"/>
                <w:sz w:val="20"/>
                <w:szCs w:val="20"/>
              </w:rPr>
              <w:t>Tak (podać)</w:t>
            </w:r>
          </w:p>
          <w:p w:rsidR="006D5151" w:rsidRPr="007431F0" w:rsidRDefault="006D5151" w:rsidP="00DA356A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431F0">
              <w:rPr>
                <w:rFonts w:cstheme="minorHAnsi"/>
                <w:sz w:val="20"/>
                <w:szCs w:val="20"/>
              </w:rPr>
              <w:t>tryb 8</w:t>
            </w:r>
            <w:r w:rsidR="00356422" w:rsidRPr="007431F0">
              <w:rPr>
                <w:rFonts w:cstheme="minorHAnsi"/>
                <w:sz w:val="20"/>
                <w:szCs w:val="20"/>
              </w:rPr>
              <w:t>/5/365 – 0 pkt</w:t>
            </w:r>
            <w:r w:rsidR="00356422" w:rsidRPr="007431F0">
              <w:rPr>
                <w:rFonts w:cstheme="minorHAnsi"/>
                <w:sz w:val="20"/>
                <w:szCs w:val="20"/>
              </w:rPr>
              <w:br/>
              <w:t>tryb 24/7/365 – 3</w:t>
            </w:r>
            <w:r w:rsidRPr="007431F0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1" w:rsidRPr="007431F0" w:rsidRDefault="006D5151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D5151" w:rsidRPr="007431F0" w:rsidTr="00DA356A">
        <w:tc>
          <w:tcPr>
            <w:tcW w:w="29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51" w:rsidRPr="007431F0" w:rsidRDefault="006D5151" w:rsidP="00DA356A">
            <w:pPr>
              <w:widowControl w:val="0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eastAsia="Calibri" w:cstheme="minorHAnsi"/>
                <w:sz w:val="20"/>
                <w:szCs w:val="20"/>
              </w:rPr>
              <w:t>Razem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51" w:rsidRPr="007431F0" w:rsidRDefault="006D5151" w:rsidP="007A1E3E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431F0">
              <w:rPr>
                <w:rFonts w:cstheme="minorHAnsi"/>
                <w:sz w:val="20"/>
                <w:szCs w:val="20"/>
              </w:rPr>
              <w:t>Maksymalnie:</w:t>
            </w:r>
            <w:r w:rsidRPr="007431F0">
              <w:rPr>
                <w:rFonts w:cstheme="minorHAnsi"/>
                <w:sz w:val="20"/>
                <w:szCs w:val="20"/>
              </w:rPr>
              <w:br/>
            </w:r>
            <w:r w:rsidR="00356422" w:rsidRPr="007431F0">
              <w:rPr>
                <w:rFonts w:eastAsia="Calibri" w:cstheme="minorHAnsi"/>
                <w:sz w:val="20"/>
                <w:szCs w:val="20"/>
              </w:rPr>
              <w:t>200</w:t>
            </w:r>
            <w:r w:rsidRPr="007431F0">
              <w:rPr>
                <w:rFonts w:eastAsia="Calibri"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51" w:rsidRPr="007431F0" w:rsidRDefault="006D5151" w:rsidP="00DA356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7A1E3E" w:rsidRPr="007431F0" w:rsidRDefault="007A1E3E">
      <w:pPr>
        <w:rPr>
          <w:rFonts w:cstheme="minorHAnsi"/>
          <w:sz w:val="20"/>
          <w:szCs w:val="20"/>
        </w:rPr>
      </w:pPr>
    </w:p>
    <w:sectPr w:rsidR="007A1E3E" w:rsidRPr="007431F0" w:rsidSect="0003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B4B"/>
    <w:multiLevelType w:val="hybridMultilevel"/>
    <w:tmpl w:val="33FCC082"/>
    <w:lvl w:ilvl="0" w:tplc="0538B870">
      <w:start w:val="33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02DB2"/>
    <w:multiLevelType w:val="hybridMultilevel"/>
    <w:tmpl w:val="97E6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1218D"/>
    <w:multiLevelType w:val="hybridMultilevel"/>
    <w:tmpl w:val="A882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E10A0"/>
    <w:multiLevelType w:val="hybridMultilevel"/>
    <w:tmpl w:val="FA3C5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10ECC"/>
    <w:multiLevelType w:val="hybridMultilevel"/>
    <w:tmpl w:val="F1503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C693B"/>
    <w:multiLevelType w:val="hybridMultilevel"/>
    <w:tmpl w:val="3CB68810"/>
    <w:lvl w:ilvl="0" w:tplc="A3BE5902">
      <w:start w:val="427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E3E"/>
    <w:rsid w:val="00030D41"/>
    <w:rsid w:val="000C1C9B"/>
    <w:rsid w:val="00122B2D"/>
    <w:rsid w:val="00170A4E"/>
    <w:rsid w:val="00356422"/>
    <w:rsid w:val="00674A68"/>
    <w:rsid w:val="006D5151"/>
    <w:rsid w:val="007431F0"/>
    <w:rsid w:val="007A1E3E"/>
    <w:rsid w:val="008D0676"/>
    <w:rsid w:val="00D57457"/>
    <w:rsid w:val="00FD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lp1,Preambuła,Lista num,HŁ_Bullet1,Bulleted list,Colorful Shading - Accent 31,Light List - Accent 51,Kolorowa lista — akcent 11,Akapit normalny,Obiekt"/>
    <w:basedOn w:val="Normalny"/>
    <w:link w:val="AkapitzlistZnak"/>
    <w:uiPriority w:val="34"/>
    <w:qFormat/>
    <w:rsid w:val="006D5151"/>
    <w:pPr>
      <w:spacing w:after="27" w:line="293" w:lineRule="auto"/>
      <w:ind w:left="720" w:hanging="10"/>
      <w:contextualSpacing/>
    </w:pPr>
    <w:rPr>
      <w:rFonts w:asciiTheme="majorHAnsi" w:eastAsia="Times New Roman" w:hAnsiTheme="majorHAnsi" w:cstheme="majorHAns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lp1 Znak,Preambuła Znak,Lista num Znak,HŁ_Bullet1 Znak,Bulleted list Znak,Colorful Shading - Accent 31 Znak"/>
    <w:link w:val="Akapitzlist"/>
    <w:uiPriority w:val="34"/>
    <w:qFormat/>
    <w:locked/>
    <w:rsid w:val="006D5151"/>
    <w:rPr>
      <w:rFonts w:asciiTheme="majorHAnsi" w:eastAsia="Times New Roman" w:hAnsiTheme="majorHAnsi" w:cstheme="majorHAns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aszylko</cp:lastModifiedBy>
  <cp:revision>8</cp:revision>
  <dcterms:created xsi:type="dcterms:W3CDTF">2023-09-20T04:26:00Z</dcterms:created>
  <dcterms:modified xsi:type="dcterms:W3CDTF">2023-09-20T16:26:00Z</dcterms:modified>
</cp:coreProperties>
</file>