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C82" w:rsidRPr="00954C82" w:rsidRDefault="00954C82" w:rsidP="00954C8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54C82">
        <w:rPr>
          <w:rFonts w:ascii="Times New Roman" w:eastAsia="Calibri" w:hAnsi="Times New Roman" w:cs="Times New Roman"/>
          <w:b/>
          <w:bCs/>
          <w:sz w:val="24"/>
          <w:szCs w:val="24"/>
        </w:rPr>
        <w:t>Załącznik Nr 2a do Warunków przetargu</w:t>
      </w:r>
    </w:p>
    <w:p w:rsidR="00954C82" w:rsidRPr="00954C82" w:rsidRDefault="00954C82" w:rsidP="00954C8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54C82" w:rsidRPr="00954C82" w:rsidRDefault="00954C82" w:rsidP="00954C82">
      <w:pPr>
        <w:spacing w:after="0" w:line="240" w:lineRule="auto"/>
        <w:ind w:left="4248"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954C82" w:rsidRPr="00954C82" w:rsidRDefault="00954C82" w:rsidP="00954C82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</w:rPr>
        <w:t xml:space="preserve">41. Baza Lotnictwa Szkolnego </w:t>
      </w:r>
    </w:p>
    <w:p w:rsidR="00954C82" w:rsidRPr="00954C82" w:rsidRDefault="00954C82" w:rsidP="00954C82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</w:rPr>
        <w:t>ul. Brygady Pościgowej 5</w:t>
      </w:r>
    </w:p>
    <w:p w:rsidR="00954C82" w:rsidRPr="00954C82" w:rsidRDefault="00954C82" w:rsidP="00954C82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</w:rPr>
        <w:t>08-521 Dęblin</w:t>
      </w:r>
    </w:p>
    <w:p w:rsidR="00954C82" w:rsidRPr="00954C82" w:rsidRDefault="00954C82" w:rsidP="00954C82">
      <w:pPr>
        <w:spacing w:after="0" w:line="25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54C8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sz w:val="20"/>
          <w:szCs w:val="20"/>
        </w:rPr>
        <w:t>(</w:t>
      </w:r>
      <w:r w:rsidRPr="00954C82">
        <w:rPr>
          <w:rFonts w:ascii="Times New Roman" w:eastAsia="Calibri" w:hAnsi="Times New Roman" w:cs="Times New Roman"/>
          <w:i/>
          <w:sz w:val="20"/>
          <w:szCs w:val="20"/>
        </w:rPr>
        <w:t>pełna nazwa/firma, adres)</w:t>
      </w:r>
    </w:p>
    <w:p w:rsidR="00954C82" w:rsidRPr="00954C82" w:rsidRDefault="00954C82" w:rsidP="00954C8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C82" w:rsidRPr="00954C82" w:rsidRDefault="00954C82" w:rsidP="00954C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954C82" w:rsidRPr="00954C82" w:rsidRDefault="00954C82" w:rsidP="00954C82">
      <w:pPr>
        <w:spacing w:after="0" w:line="240" w:lineRule="auto"/>
        <w:ind w:right="4677"/>
        <w:rPr>
          <w:rFonts w:ascii="Times New Roman" w:eastAsia="Calibri" w:hAnsi="Times New Roman" w:cs="Times New Roman"/>
          <w:sz w:val="24"/>
          <w:szCs w:val="24"/>
        </w:rPr>
      </w:pPr>
      <w:r w:rsidRPr="00954C8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954C82" w:rsidRPr="00954C82" w:rsidRDefault="00954C82" w:rsidP="00954C82">
      <w:pPr>
        <w:spacing w:after="0" w:line="240" w:lineRule="auto"/>
        <w:ind w:right="4677"/>
        <w:rPr>
          <w:rFonts w:ascii="Times New Roman" w:eastAsia="Calibri" w:hAnsi="Times New Roman" w:cs="Times New Roman"/>
          <w:sz w:val="24"/>
          <w:szCs w:val="24"/>
        </w:rPr>
      </w:pPr>
      <w:r w:rsidRPr="00954C8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954C82" w:rsidRPr="00954C82" w:rsidRDefault="00954C82" w:rsidP="00954C82">
      <w:pPr>
        <w:spacing w:after="0" w:line="240" w:lineRule="auto"/>
        <w:ind w:right="4677"/>
        <w:rPr>
          <w:rFonts w:ascii="Times New Roman" w:eastAsia="Calibri" w:hAnsi="Times New Roman" w:cs="Times New Roman"/>
          <w:i/>
          <w:sz w:val="20"/>
          <w:szCs w:val="20"/>
        </w:rPr>
      </w:pPr>
      <w:r w:rsidRPr="00954C82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KRS/CEiDG)</w:t>
      </w:r>
    </w:p>
    <w:p w:rsidR="00954C82" w:rsidRPr="00954C82" w:rsidRDefault="00954C82" w:rsidP="00954C82">
      <w:pPr>
        <w:spacing w:after="0" w:line="240" w:lineRule="auto"/>
        <w:ind w:right="4677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54C82" w:rsidRPr="00954C82" w:rsidRDefault="00954C82" w:rsidP="00954C82">
      <w:pPr>
        <w:spacing w:after="0" w:line="240" w:lineRule="auto"/>
        <w:ind w:right="4677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54C82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954C82" w:rsidRPr="00954C82" w:rsidRDefault="00954C82" w:rsidP="00954C82">
      <w:pPr>
        <w:spacing w:after="0" w:line="240" w:lineRule="auto"/>
        <w:ind w:right="4677"/>
        <w:rPr>
          <w:rFonts w:ascii="Times New Roman" w:eastAsia="Calibri" w:hAnsi="Times New Roman" w:cs="Times New Roman"/>
          <w:sz w:val="24"/>
          <w:szCs w:val="24"/>
        </w:rPr>
      </w:pPr>
      <w:r w:rsidRPr="00954C8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954C82" w:rsidRPr="00954C82" w:rsidRDefault="00954C82" w:rsidP="00954C82">
      <w:pPr>
        <w:spacing w:after="0" w:line="240" w:lineRule="auto"/>
        <w:ind w:right="4678"/>
        <w:rPr>
          <w:rFonts w:ascii="Times New Roman" w:eastAsia="Calibri" w:hAnsi="Times New Roman" w:cs="Times New Roman"/>
          <w:sz w:val="24"/>
          <w:szCs w:val="24"/>
        </w:rPr>
      </w:pPr>
      <w:r w:rsidRPr="00954C8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954C82" w:rsidRPr="00954C82" w:rsidRDefault="00954C82" w:rsidP="00954C82">
      <w:pPr>
        <w:spacing w:after="0" w:line="240" w:lineRule="auto"/>
        <w:ind w:right="4677"/>
        <w:rPr>
          <w:rFonts w:ascii="Times New Roman" w:eastAsia="Calibri" w:hAnsi="Times New Roman" w:cs="Times New Roman"/>
          <w:i/>
          <w:sz w:val="20"/>
          <w:szCs w:val="20"/>
        </w:rPr>
      </w:pPr>
      <w:r w:rsidRPr="00954C82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 reprezentacji)</w:t>
      </w:r>
    </w:p>
    <w:p w:rsidR="00954C82" w:rsidRPr="00954C82" w:rsidRDefault="00954C82" w:rsidP="00954C82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954C82" w:rsidRPr="00954C82" w:rsidRDefault="00954C82" w:rsidP="00954C82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954C82" w:rsidRPr="00954C82" w:rsidRDefault="00954C82" w:rsidP="00954C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954C82">
        <w:rPr>
          <w:rFonts w:ascii="Times New Roman" w:eastAsia="Calibri" w:hAnsi="Times New Roman" w:cs="Times New Roman"/>
          <w:sz w:val="24"/>
          <w:szCs w:val="24"/>
        </w:rPr>
        <w:t>W związku z toczącym się postępowaniem o udzielenie zamówienia prowadzonym w trybie przetargu na podstawie art. 70</w:t>
      </w:r>
      <w:r w:rsidRPr="00954C82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954C82">
        <w:rPr>
          <w:rFonts w:ascii="Times New Roman" w:eastAsia="Calibri" w:hAnsi="Times New Roman" w:cs="Times New Roman"/>
          <w:sz w:val="24"/>
          <w:szCs w:val="24"/>
        </w:rPr>
        <w:t xml:space="preserve"> ustawy z dnia 23 kwietnia 1964 r. - Kodeks cywilny (Dz. U. z 2024 r., t. j. poz. 1601 ze zm.), oraz wewnętrznego Regulaminu udzielania zamówień publicznych w dziedzinie obronności i bezpieczeństwa obowiązującym w 41. Bazie Lotnictwa Szkolnego w Dęblinie na „</w:t>
      </w:r>
      <w:r w:rsidRPr="00954C82">
        <w:rPr>
          <w:rFonts w:ascii="Times New Roman" w:eastAsia="Calibri" w:hAnsi="Times New Roman" w:cs="Times New Roman"/>
          <w:b/>
          <w:sz w:val="24"/>
          <w:szCs w:val="24"/>
        </w:rPr>
        <w:t>wykonywanie usług konserwacji, przeglądów i napraw systemów alarmowych stosowanych w technicznej ochronie obiektów wojskowych – w kompleksach będących na zaopatrzeniu Jednostki Wojskowej 4929 w Dęblinie w 2025 r.” Nr 11/2024/OiB</w:t>
      </w:r>
      <w:r w:rsidRPr="00954C82">
        <w:rPr>
          <w:rFonts w:ascii="Times New Roman" w:eastAsia="Calibri" w:hAnsi="Times New Roman" w:cs="Times New Roman"/>
          <w:sz w:val="24"/>
          <w:szCs w:val="24"/>
        </w:rPr>
        <w:t xml:space="preserve"> prowadzonego przez 41.Bazę Lotnictwa Szkolnego w Dęblinie, oświadczam, co następuje:</w:t>
      </w:r>
    </w:p>
    <w:p w:rsidR="00954C82" w:rsidRPr="00954C82" w:rsidRDefault="00954C82" w:rsidP="00954C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4C82" w:rsidRPr="00954C82" w:rsidRDefault="00954C82" w:rsidP="00954C82">
      <w:pPr>
        <w:shd w:val="clear" w:color="auto" w:fill="D9D9D9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</w:rPr>
        <w:t>I. Oświadczenia dotyczące wykonawcy:</w:t>
      </w:r>
    </w:p>
    <w:p w:rsidR="00954C82" w:rsidRPr="00954C82" w:rsidRDefault="00954C82" w:rsidP="00954C8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954C82" w:rsidRPr="00954C82" w:rsidRDefault="00954C82" w:rsidP="00954C82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4C82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Oświadczam, </w:t>
      </w:r>
      <w:r w:rsidRPr="00954C82">
        <w:rPr>
          <w:rFonts w:ascii="Times New Roman" w:eastAsia="Calibri" w:hAnsi="Times New Roman" w:cs="Times New Roman"/>
          <w:sz w:val="24"/>
          <w:szCs w:val="24"/>
        </w:rPr>
        <w:t xml:space="preserve">że </w:t>
      </w:r>
      <w:r w:rsidRPr="00954C82">
        <w:rPr>
          <w:rFonts w:ascii="Times New Roman" w:eastAsia="Calibri" w:hAnsi="Times New Roman" w:cs="Times New Roman"/>
          <w:sz w:val="24"/>
          <w:szCs w:val="24"/>
          <w:lang w:val="x-none"/>
        </w:rPr>
        <w:t>nie podlega</w:t>
      </w:r>
      <w:r w:rsidRPr="00954C82">
        <w:rPr>
          <w:rFonts w:ascii="Times New Roman" w:eastAsia="Calibri" w:hAnsi="Times New Roman" w:cs="Times New Roman"/>
          <w:sz w:val="24"/>
          <w:szCs w:val="24"/>
        </w:rPr>
        <w:t>m</w:t>
      </w:r>
      <w:r w:rsidRPr="00954C82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wykluczeniu z postępowania </w:t>
      </w:r>
      <w:r w:rsidRPr="00954C82">
        <w:rPr>
          <w:rFonts w:ascii="Times New Roman" w:eastAsia="Calibri" w:hAnsi="Times New Roman" w:cs="Times New Roman"/>
          <w:sz w:val="24"/>
          <w:szCs w:val="24"/>
        </w:rPr>
        <w:t>w zakresie wskazanym przez Zamawiającego w Warunkach przetargu w Rozdziale XI (Przesłanki wykluczenia z postępowania) oraz w Ogłoszeniu o zamówieniu:*</w:t>
      </w:r>
    </w:p>
    <w:p w:rsidR="00954C82" w:rsidRPr="00954C82" w:rsidRDefault="00954C82" w:rsidP="00954C8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54C82" w:rsidRPr="00954C82" w:rsidRDefault="00954C82" w:rsidP="00954C82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*</w:t>
      </w:r>
      <w:r w:rsidRPr="00954C8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1. </w:t>
      </w:r>
      <w:r w:rsidRPr="00954C82">
        <w:rPr>
          <w:rFonts w:ascii="Times New Roman" w:eastAsia="Calibri" w:hAnsi="Times New Roman" w:cs="Times New Roman"/>
          <w:sz w:val="16"/>
          <w:szCs w:val="16"/>
          <w:lang w:eastAsia="pl-PL"/>
        </w:rPr>
        <w:t>O udzielenie zamówienia w dziedzinach obronności i bezpieczeństwa mogą ubiegać się wykonawcy mający siedzibę albo miejsce zamieszkania w jednym z państw członkowskich Unii Europejskiej, Europejskiego Obszaru Gospodarczego lub państwie, z którym Unia Europejska lub Rzeczpospolita Polska zawarła umowę międzynarodową dotyczącą tych zamówień. O zamówienie mogą ubiegać się również wykonawcy z innych państw niż wymienione w zdaniu poprzednim.</w:t>
      </w:r>
    </w:p>
    <w:p w:rsidR="00954C82" w:rsidRPr="00954C82" w:rsidRDefault="00954C82" w:rsidP="00954C82">
      <w:pPr>
        <w:spacing w:after="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2. Zamawiający wykluczy z postępowania o udzielenie zamówienia: 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wykonawcę, który nie wykazał spełniania warunków udziału w postępowaniu lub nie został zaproszony do negocjacji lub złożenia ofert, lub nie wykazał braku podstaw wykluczenia; a także nie złożył wyjaśnień odnośnie rażąco niskiej ceny oferty lub nie uzupełnił dokumentów lub oświadczeń potwierdzających spełnianie warunków udziału w postępowaniu lub braku podstaw wykluczenia, o których mowa w niniejszym regulaminie;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wykonawcę będącego osobą fizyczną, którego prawomocnie skazano za przestępstwo:</w:t>
      </w:r>
    </w:p>
    <w:p w:rsidR="00954C82" w:rsidRPr="00954C82" w:rsidRDefault="00954C82" w:rsidP="00954C8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udziału w zorganizowanej grupie przestępczej albo związku mającym na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celu popełnienie przestępstwa lub przestępstwa skarbowego, o którym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mowa w art. 258 Kodeksu karnego,</w:t>
      </w:r>
    </w:p>
    <w:p w:rsidR="00954C82" w:rsidRPr="00954C82" w:rsidRDefault="00954C82" w:rsidP="00954C82">
      <w:pPr>
        <w:numPr>
          <w:ilvl w:val="0"/>
          <w:numId w:val="5"/>
        </w:numPr>
        <w:spacing w:after="20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handlu ludźmi, o którym mowa w art. 189a Kodeksu karnego,</w:t>
      </w:r>
    </w:p>
    <w:p w:rsidR="00954C82" w:rsidRPr="00954C82" w:rsidRDefault="00954C82" w:rsidP="00954C82">
      <w:pPr>
        <w:numPr>
          <w:ilvl w:val="0"/>
          <w:numId w:val="5"/>
        </w:numPr>
        <w:spacing w:after="20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o którym mowa w art. 228–230a, art. 250a Kodeksu karnego, w art. 46–48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ustawy z dnia 25 czerwca 2010 r. o sporcie (Dz. U. z 2020 r. poz. 1133 oraz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lastRenderedPageBreak/>
        <w:t xml:space="preserve">z 2021 r. poz. 2054 i 2142) lub w art. 54 ust. 1–4 ustawy z dnia 12 maja 2011 r. o refundacji leków, środków spożywczych specjalnego przeznaczenia żywieniowego oraz wyrobów medycznych (Dz. U. z 2022 r. poz. 463, 583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i 974),</w:t>
      </w:r>
    </w:p>
    <w:p w:rsidR="00954C82" w:rsidRPr="00954C82" w:rsidRDefault="00954C82" w:rsidP="00954C82">
      <w:pPr>
        <w:numPr>
          <w:ilvl w:val="0"/>
          <w:numId w:val="5"/>
        </w:numPr>
        <w:spacing w:after="20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finansowania przestępstwa o charakterze terrorystycznym, o którym mowa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art. 165a Kodeksu karnego, lub przestępstwo udaremniania lub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utrudniania stwierdzenia przestępnego pochodzenia pieniędzy lub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ukrywania ich pochodzenia, o którym mowa w art. 299 Kodeksu karnego,</w:t>
      </w:r>
    </w:p>
    <w:p w:rsidR="00954C82" w:rsidRPr="00954C82" w:rsidRDefault="00954C82" w:rsidP="00954C82">
      <w:pPr>
        <w:numPr>
          <w:ilvl w:val="0"/>
          <w:numId w:val="5"/>
        </w:numPr>
        <w:spacing w:after="20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o charakterze terrorystycznym, o którym mowa w art. 115 § 20 Kodeksu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karnego, lub mające na celu popełnienie tego przestępstwa;</w:t>
      </w:r>
    </w:p>
    <w:p w:rsidR="00954C82" w:rsidRPr="00954C82" w:rsidRDefault="00954C82" w:rsidP="00954C82">
      <w:pPr>
        <w:numPr>
          <w:ilvl w:val="0"/>
          <w:numId w:val="5"/>
        </w:numPr>
        <w:spacing w:after="20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powierzenia wykonywania pracy małoletniemu cudzoziemcowi, o którym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mowa w art. 9 ust. 2 ustawy z dnia 15 czerwca 2012 r. o skutkach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powierzania wykonywania pracy cudzoziemcom przebywającym wbrew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przepisom na terytorium Rzeczypospolitej Polskiej (Dz. U. z 2021 r. poz.1745),</w:t>
      </w:r>
    </w:p>
    <w:p w:rsidR="00954C82" w:rsidRPr="00954C82" w:rsidRDefault="00954C82" w:rsidP="00954C82">
      <w:pPr>
        <w:numPr>
          <w:ilvl w:val="0"/>
          <w:numId w:val="5"/>
        </w:numPr>
        <w:spacing w:after="20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przeciwko obrotowi gospodarczemu, o których mowa w art. 296–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 xml:space="preserve">307 Kodeksu karnego, przestępstwo oszustwa, o którym mowa w art. 286 Kodeksu karnego, przestępstwo przeciwko wiarygodności dokumentów,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o których mowa w art. 270–277d Kodeksu karnego, lub przestępstwo skarbowe,</w:t>
      </w:r>
    </w:p>
    <w:p w:rsidR="00954C82" w:rsidRPr="00954C82" w:rsidRDefault="00954C82" w:rsidP="00954C82">
      <w:pPr>
        <w:numPr>
          <w:ilvl w:val="0"/>
          <w:numId w:val="5"/>
        </w:numPr>
        <w:spacing w:after="20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o którym mowa w art. 9 ust. 1 i 3 lub art. 10 ustawy z dnia 15 czerwca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2012 r. o skutkach powierzania wykonywania pracy cudzoziemcom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przebywającym wbrew przepisom na terytorium Rzeczypospolitej Polskiej</w:t>
      </w:r>
    </w:p>
    <w:p w:rsidR="00954C82" w:rsidRPr="00954C82" w:rsidRDefault="00954C82" w:rsidP="00954C82">
      <w:pPr>
        <w:spacing w:after="200" w:line="276" w:lineRule="auto"/>
        <w:ind w:left="1058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– lub za odpowiedni czyn zabroniony określony w przepisach prawa obcego;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jeżeli urzędującego członka jego organu zarządzającego lub nadzorczego,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wspólnika spółki w spółce jawnej lub partnerskiej albo komplementariusza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spółce komandytowej lub komandytowo-akcyjnej lub prokurenta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prawomocnie skazano za przestępstwo, o którym mowa w pkt 2.2.;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wobec którego wydano prawomocny wyrok sądu lub ostateczną decyzję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administracyjną o zaleganiu z uiszczeniem podatków, opłat lub składek na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ubezpieczenie społeczne lub zdrowotne, chyba że wykonawca odpowiednio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przed upływem terminu do składania wniosków o dopuszczenie do udziału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postępowaniu albo przed upływem terminu składania ofert dokonał płatności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należnych podatków, opłat lub składek na ubezpieczenie społeczne lub zdrowotne wraz z odsetkami lub grzywnami lub zawarł wiążące porozumienie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sprawie spłaty tych należności;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wobec którego prawomocnie orzeczono zakaz ubiegania się o zamówienia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publiczne;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jeżeli zamawiający może stwierdzić, na podstawie wiarygodnych przesłanek, że wykonawca zawarł z innymi wykonawcami porozumienie mające na celu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zakłócenie konkurencji, w szczególności, jeżeli należąc do tej samej grupy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kapitałowej w rozumieniu ustawy z dnia 16 lutego 2007 r. o ochronie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konkurencji i konsumentów, złożyli odrębne oferty, oferty częściowe, chyba że wykażą, że przygotowali te oferty lub wnioski niezależnie od siebie;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 xml:space="preserve">jeżeli, w przypadkach, gdy wykonawca lub podmiot, który należy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z wykonawcą do tej samej grupy kapitałowej w rozumieniu ustawy z dnia 16 lutego 2007 r. o ochronie konkurencji i konsumentów (Dz. U. z 2021 r. poz. 275), doradzał lub w inny sposób był zaangażowany w przygotowanie postępowania o udzielenie tego zamówienia, doszło do zakłócenia konkurencji wynikającego z wcześniejszego zaangażowania tego wykonawcy lub podmiotu, który należy z wykonawcą do tej samej grupy kapitałowej w rozumieniu ustawy z dnia 16 lutego 2007 r. o ochronie konkurencji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i konsumentów, chyba że spowodowane tym zakłócenie konkurencji może być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wyeliminowane w inny sposób niż przez wykluczenie wykonawcy z udziału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postępowaniu o udzielenie zamówienia;</w:t>
      </w:r>
    </w:p>
    <w:p w:rsidR="00954C82" w:rsidRPr="00954C82" w:rsidRDefault="00954C82" w:rsidP="00954C8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54C8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Zamawiający wykluczy z postępowania o udzielenie zamówienia: 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 xml:space="preserve"> będącego osobą fizyczną, spółką jawną, spółką partnerską, spółką komandytową,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spółką komandytowo-akcyjną albo osobą prawną, jeżeli, odpowiednio, w stosunku do takiej osoby, wspólnika, partnera lub członka zarządu, komplementariusza, urzędującego członka organu zarządzającego, lub w związku z podejmowanym przez niego działaniem lub zaniechaniem podjęto decyzję o cofnięciu poświadczenia bezpieczeństwa, o której mowa w art. 33 ust. 11 pkt 1 ustawy z dnia 5 sierpnia 2010 r. o ochronie informacji niejawnych;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który naruszył zobowiązania w zakresie bezpieczeństwa informacji lub bezpieczeństwa dostaw;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którego uznano za nieposiadającego wiarygodności niezbędnej do wykluczenia zagrożenia dla obronności lub bezpieczeństwa państwa, także w inny sposób niż w drodze wydania decyzji o cofnięciu świadectwa bezpieczeństwa przemysłowego, o której mowa w art. 66 ustawy z dnia 5 sierpnia 2010 r. o ochronie informacji niejawnych;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 xml:space="preserve">który ma siedzibę albo miejsce zamieszkania w innym państwie niż państwa,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o których mowa w pkt. 1 (jeżeli postawiono tak wymóg);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o którym mowa poniżej:</w:t>
      </w:r>
    </w:p>
    <w:p w:rsidR="00954C82" w:rsidRPr="00954C82" w:rsidRDefault="00954C82" w:rsidP="00954C82">
      <w:pPr>
        <w:numPr>
          <w:ilvl w:val="2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który naruszył obowiązki dotyczące płatności podatków, opłat lub składek na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ubezpieczenia społeczne lub zdrowotne, z wyjątkiem przypadku, o którym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954C82" w:rsidRPr="00954C82" w:rsidRDefault="00954C82" w:rsidP="00954C82">
      <w:pPr>
        <w:numPr>
          <w:ilvl w:val="2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który naruszył obowiązki w dziedzinie ochrony środowiska, prawa socjalnego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lub prawa pracy:</w:t>
      </w:r>
    </w:p>
    <w:p w:rsidR="00954C82" w:rsidRPr="00954C82" w:rsidRDefault="00954C82" w:rsidP="00954C8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będącego osobą fizyczną skazanego prawomocnie za przestępstwo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przeciwko środowisku, o którym mowa w rozdziale XXII Kodeksu karnego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lub za przestępstwo przeciwko prawom osób wykonujących pracę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zarobkową, o którym mowa w rozdziale XXVIII Kodeksu karnego, lub za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odpowiedni czyn zabroniony określony w przepisach prawa obcego,</w:t>
      </w:r>
    </w:p>
    <w:p w:rsidR="00954C82" w:rsidRPr="00954C82" w:rsidRDefault="00954C82" w:rsidP="00954C8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będącego osobą fizyczną prawomocnie ukaranego za wykroczenie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przeciwko prawom pracownika lub wykroczenie przeciwko środowisku,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jeżeli za jego popełnienie wymierzono karę aresztu, ograniczenia wolności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lub karę grzywny,</w:t>
      </w:r>
    </w:p>
    <w:p w:rsidR="00954C82" w:rsidRPr="00954C82" w:rsidRDefault="00954C82" w:rsidP="00954C8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lastRenderedPageBreak/>
        <w:t>wobec którego wydano ostateczną decyzję administracyjną o naruszeniu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obowiązków wynikających z prawa ochrony środowiska, prawa pracy lub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przepisów o zabezpieczeniu społecznym, jeżeli wymierzono tą decyzją karę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pieniężną;</w:t>
      </w:r>
    </w:p>
    <w:p w:rsidR="00954C82" w:rsidRPr="00954C82" w:rsidRDefault="00954C82" w:rsidP="00954C8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vanish/>
          <w:sz w:val="16"/>
          <w:szCs w:val="16"/>
          <w:lang w:val="x-none"/>
        </w:rPr>
      </w:pPr>
    </w:p>
    <w:p w:rsidR="00954C82" w:rsidRPr="00954C82" w:rsidRDefault="00954C82" w:rsidP="00954C8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vanish/>
          <w:sz w:val="16"/>
          <w:szCs w:val="16"/>
          <w:lang w:val="x-none"/>
        </w:rPr>
      </w:pPr>
    </w:p>
    <w:p w:rsidR="00954C82" w:rsidRPr="00954C82" w:rsidRDefault="00954C82" w:rsidP="00954C8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vanish/>
          <w:sz w:val="16"/>
          <w:szCs w:val="16"/>
          <w:lang w:val="x-none"/>
        </w:rPr>
      </w:pPr>
    </w:p>
    <w:p w:rsidR="00954C82" w:rsidRPr="00954C82" w:rsidRDefault="00954C82" w:rsidP="00954C82">
      <w:pPr>
        <w:numPr>
          <w:ilvl w:val="1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vanish/>
          <w:sz w:val="16"/>
          <w:szCs w:val="16"/>
          <w:lang w:val="x-none"/>
        </w:rPr>
      </w:pPr>
    </w:p>
    <w:p w:rsidR="00954C82" w:rsidRPr="00954C82" w:rsidRDefault="00954C82" w:rsidP="00954C82">
      <w:pPr>
        <w:numPr>
          <w:ilvl w:val="1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vanish/>
          <w:sz w:val="16"/>
          <w:szCs w:val="16"/>
          <w:lang w:val="x-none"/>
        </w:rPr>
      </w:pPr>
    </w:p>
    <w:p w:rsidR="00954C82" w:rsidRPr="00954C82" w:rsidRDefault="00954C82" w:rsidP="00954C82">
      <w:pPr>
        <w:numPr>
          <w:ilvl w:val="1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vanish/>
          <w:sz w:val="16"/>
          <w:szCs w:val="16"/>
          <w:lang w:val="x-none"/>
        </w:rPr>
      </w:pPr>
    </w:p>
    <w:p w:rsidR="00954C82" w:rsidRPr="00954C82" w:rsidRDefault="00954C82" w:rsidP="00954C82">
      <w:pPr>
        <w:numPr>
          <w:ilvl w:val="1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vanish/>
          <w:sz w:val="16"/>
          <w:szCs w:val="16"/>
          <w:lang w:val="x-none"/>
        </w:rPr>
      </w:pPr>
    </w:p>
    <w:p w:rsidR="00954C82" w:rsidRPr="00954C82" w:rsidRDefault="00954C82" w:rsidP="00954C82">
      <w:pPr>
        <w:numPr>
          <w:ilvl w:val="2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vanish/>
          <w:sz w:val="16"/>
          <w:szCs w:val="16"/>
          <w:lang w:val="x-none"/>
        </w:rPr>
      </w:pPr>
    </w:p>
    <w:p w:rsidR="00954C82" w:rsidRPr="00954C82" w:rsidRDefault="00954C82" w:rsidP="00954C82">
      <w:pPr>
        <w:numPr>
          <w:ilvl w:val="2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vanish/>
          <w:sz w:val="16"/>
          <w:szCs w:val="16"/>
          <w:lang w:val="x-none"/>
        </w:rPr>
      </w:pPr>
    </w:p>
    <w:p w:rsidR="00954C82" w:rsidRPr="00954C82" w:rsidRDefault="00954C82" w:rsidP="00954C82">
      <w:pPr>
        <w:numPr>
          <w:ilvl w:val="2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jeżeli urzędującego członka jego organu zarządzającego lub nadzorczego,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wspólnika spółki w spółce jawnej lub partnerskiej albo komplementariusza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spółce komandytowej lub komandytowo-akcyjnej lub prokurenta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prawomocnie skazano za przestępstwo lub ukarano za wykroczenie, o którym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mowa w pkt 3.5.2. lit. a lub b;</w:t>
      </w:r>
    </w:p>
    <w:p w:rsidR="00954C82" w:rsidRPr="00954C82" w:rsidRDefault="00954C82" w:rsidP="00954C82">
      <w:pPr>
        <w:numPr>
          <w:ilvl w:val="2"/>
          <w:numId w:val="1"/>
        </w:numPr>
        <w:spacing w:after="200" w:line="276" w:lineRule="auto"/>
        <w:ind w:left="709" w:hanging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stosunku do którego otwarto likwidację, ogłoszono upadłość, którego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aktywami zarządza likwidator lub sąd, zawarł układ z wierzycielami, którego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działalność gospodarcza jest zawieszona albo znajduje się on w innej tego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 xml:space="preserve">rodzaju sytuacji wynikającej z podobnej procedury przewidzianej 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przepisach miejsca wszczęcia tej procedury;</w:t>
      </w:r>
    </w:p>
    <w:p w:rsidR="00954C82" w:rsidRPr="00954C82" w:rsidRDefault="00954C82" w:rsidP="00954C82">
      <w:pPr>
        <w:numPr>
          <w:ilvl w:val="2"/>
          <w:numId w:val="1"/>
        </w:numPr>
        <w:spacing w:after="200" w:line="276" w:lineRule="auto"/>
        <w:ind w:left="709" w:hanging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</w:t>
      </w:r>
    </w:p>
    <w:p w:rsidR="00954C82" w:rsidRPr="00954C82" w:rsidRDefault="00954C82" w:rsidP="00954C82">
      <w:pPr>
        <w:numPr>
          <w:ilvl w:val="2"/>
          <w:numId w:val="1"/>
        </w:numPr>
        <w:spacing w:after="200" w:line="276" w:lineRule="auto"/>
        <w:ind w:left="709" w:hanging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jeżeli występuje konflikt interesów którego nie można skutecznie wyeliminować w inny sposób niż przez wykluczenie wykonawcy;</w:t>
      </w:r>
    </w:p>
    <w:p w:rsidR="00954C82" w:rsidRPr="00954C82" w:rsidRDefault="00954C82" w:rsidP="00954C82">
      <w:pPr>
        <w:numPr>
          <w:ilvl w:val="2"/>
          <w:numId w:val="1"/>
        </w:numPr>
        <w:spacing w:after="200" w:line="276" w:lineRule="auto"/>
        <w:ind w:left="709" w:hanging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w sprawie zamówienia publicznego lub umowy koncesji, co doprowadziło do wypowiedzenia lub odstąpienia od umowy, odszkodowania, wykonania zastępczego lub realizacji uprawnień z tytułu rękojmi za wady;</w:t>
      </w:r>
    </w:p>
    <w:p w:rsidR="00954C82" w:rsidRPr="00954C82" w:rsidRDefault="00954C82" w:rsidP="00954C82">
      <w:pPr>
        <w:numPr>
          <w:ilvl w:val="2"/>
          <w:numId w:val="1"/>
        </w:numPr>
        <w:spacing w:after="200" w:line="276" w:lineRule="auto"/>
        <w:ind w:left="709" w:hanging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954C82" w:rsidRPr="00954C82" w:rsidRDefault="00954C82" w:rsidP="00954C82">
      <w:pPr>
        <w:numPr>
          <w:ilvl w:val="2"/>
          <w:numId w:val="1"/>
        </w:numPr>
        <w:spacing w:after="200" w:line="276" w:lineRule="auto"/>
        <w:ind w:left="709" w:hanging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954C82" w:rsidRPr="00954C82" w:rsidRDefault="00954C82" w:rsidP="00954C82">
      <w:pPr>
        <w:numPr>
          <w:ilvl w:val="2"/>
          <w:numId w:val="1"/>
        </w:numPr>
        <w:spacing w:after="200" w:line="276" w:lineRule="auto"/>
        <w:ind w:left="709" w:hanging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który w wyniku lekkomyślności lub niedbalstwa przedstawił informacje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wprowadzające w błąd, co mogło mieć istotny wpływ na decyzje podejmowane przez zamawiającego w postępowaniu o udzielenie zamówienia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będącego osobą fizyczną, która naruszyła zobowiązania dotyczące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bezpieczeństwa informacji lub bezpieczeństwa dostaw, w związku z wykonaniem, niewykonaniem lub nienależytym wykonaniem zamówienia;</w:t>
      </w:r>
    </w:p>
    <w:p w:rsidR="00954C82" w:rsidRPr="00954C82" w:rsidRDefault="00954C82" w:rsidP="00954C82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jeżeli urzędujący członek jego organu zarządzającego lub nadzorczego, wspólnik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spółki w spółce jawnej lub partnerskiej albo komplementariusz w spółce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komandytowej lub komandytowo-akcyjnej lub prokurent naruszył zobowiązania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dotyczące bezpieczeństwa informacji lub bezpieczeństwa dostaw w związku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z wykonaniem, niewykonaniem lub nienależytym wykonaniem zamówienia.</w:t>
      </w:r>
    </w:p>
    <w:p w:rsidR="00954C82" w:rsidRPr="00954C82" w:rsidRDefault="00954C82" w:rsidP="00954C8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Jeżeli zamawiający przewiduje wykluczenie wykonawcy na podstawie któregokolwiek z podpunktów pkt. 3 wskazuje podstawy wykluczenia w ogłoszeniu o zamówieniu i warunkach przetargu.</w:t>
      </w:r>
    </w:p>
    <w:p w:rsidR="00954C82" w:rsidRPr="00954C82" w:rsidRDefault="00954C82" w:rsidP="00954C8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przypadkach, o których mowa w pkt 3.5. ppkt 3.5.1. - 3.5.5. lub 3.5.7, zamawiający może nie wykluczać wykonawcy, jeżeli wykluczenie byłoby w sposób oczywisty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nieproporcjonalne, w szczególności, gdy kwota zaległych podatków lub składek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na ubezpieczenie społeczne jest niewielka albo sytuacja ekonomiczna lub finansowa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wykonawcy, o którym mowa w ppkt 3.5.4, jest wystarczająca do wykonania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zamówienia.</w:t>
      </w:r>
    </w:p>
    <w:p w:rsidR="00954C82" w:rsidRPr="00954C82" w:rsidRDefault="00954C82" w:rsidP="00954C8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Times New Roman" w:hAnsi="Times New Roman" w:cs="Times New Roman"/>
          <w:sz w:val="16"/>
          <w:szCs w:val="16"/>
          <w:lang w:val="x-none"/>
        </w:rPr>
        <w:t>W przypadkach, o których mowa w pkt. 3.2., 3.6. i 3.7., wykluczenie wykonawcy następuje, jeżeli nie upłynęło 5 lat od stwierdzenia naruszenia, o którym</w:t>
      </w:r>
      <w:r w:rsidRPr="00954C8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Times New Roman" w:hAnsi="Times New Roman" w:cs="Times New Roman"/>
          <w:sz w:val="16"/>
          <w:szCs w:val="16"/>
          <w:lang w:val="x-none"/>
        </w:rPr>
        <w:t>mowa w tych przepisach.</w:t>
      </w:r>
    </w:p>
    <w:p w:rsidR="00954C82" w:rsidRPr="00954C82" w:rsidRDefault="00954C82" w:rsidP="00954C8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Times New Roman" w:hAnsi="Times New Roman" w:cs="Times New Roman"/>
          <w:sz w:val="16"/>
          <w:szCs w:val="16"/>
          <w:lang w:val="x-none"/>
        </w:rPr>
        <w:t>Wykluczenie, na podstawie pkt 3.3., może nastąpić także w przypadku</w:t>
      </w:r>
      <w:r w:rsidRPr="00954C8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Times New Roman" w:hAnsi="Times New Roman" w:cs="Times New Roman"/>
          <w:sz w:val="16"/>
          <w:szCs w:val="16"/>
          <w:lang w:val="x-none"/>
        </w:rPr>
        <w:t>otrzymania przez zamawiającego, bezpośrednio lub pośrednio, pisemnego</w:t>
      </w:r>
      <w:r w:rsidRPr="00954C8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Times New Roman" w:hAnsi="Times New Roman" w:cs="Times New Roman"/>
          <w:sz w:val="16"/>
          <w:szCs w:val="16"/>
          <w:lang w:val="x-none"/>
        </w:rPr>
        <w:t>zawiadomienia od instytucji właściwych w sprawach ochrony bezpieczeństwa</w:t>
      </w:r>
      <w:r w:rsidRPr="00954C82">
        <w:rPr>
          <w:rFonts w:ascii="Times New Roman" w:eastAsia="Times New Roman" w:hAnsi="Times New Roman" w:cs="Times New Roman"/>
          <w:sz w:val="16"/>
          <w:szCs w:val="16"/>
          <w:lang w:val="x-none"/>
        </w:rPr>
        <w:br/>
        <w:t>wewnętrznego lub zewnętrznego państwa, dysponujących informacjami w tym</w:t>
      </w:r>
      <w:r w:rsidRPr="00954C8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Times New Roman" w:hAnsi="Times New Roman" w:cs="Times New Roman"/>
          <w:sz w:val="16"/>
          <w:szCs w:val="16"/>
          <w:lang w:val="x-none"/>
        </w:rPr>
        <w:t>zakresie, o wystąpieniu zagrożenia dla obronności i bezpieczeństwa, w szczególności</w:t>
      </w:r>
      <w:r w:rsidRPr="00954C8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Times New Roman" w:hAnsi="Times New Roman" w:cs="Times New Roman"/>
          <w:sz w:val="16"/>
          <w:szCs w:val="16"/>
          <w:lang w:val="x-none"/>
        </w:rPr>
        <w:t>przekazania informacji o decyzji o cofnięciu świadectwa bezpieczeństwa</w:t>
      </w:r>
      <w:r w:rsidRPr="00954C8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Times New Roman" w:hAnsi="Times New Roman" w:cs="Times New Roman"/>
          <w:sz w:val="16"/>
          <w:szCs w:val="16"/>
          <w:lang w:val="x-none"/>
        </w:rPr>
        <w:t>przemysłowego, o której mowa w art. 66 ustawy z dnia 5 sierpnia 2010 r. o ochronie</w:t>
      </w:r>
      <w:r w:rsidRPr="00954C8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Times New Roman" w:hAnsi="Times New Roman" w:cs="Times New Roman"/>
          <w:sz w:val="16"/>
          <w:szCs w:val="16"/>
          <w:lang w:val="x-none"/>
        </w:rPr>
        <w:t>informacji niejawnych.</w:t>
      </w:r>
    </w:p>
    <w:p w:rsidR="00954C82" w:rsidRPr="00954C82" w:rsidRDefault="00954C82" w:rsidP="00954C8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Wykluczenie wykonawcy następuje:</w:t>
      </w:r>
    </w:p>
    <w:p w:rsidR="00954C82" w:rsidRPr="00954C82" w:rsidRDefault="00954C82" w:rsidP="00954C82">
      <w:pPr>
        <w:numPr>
          <w:ilvl w:val="0"/>
          <w:numId w:val="7"/>
        </w:numPr>
        <w:spacing w:afterLines="200" w:after="48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przypadkach, o których mowa w pkt. 2.2. ppkt a)-g) i pkt. 2.3., na okres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5 lat od dnia uprawomocnienia się wyroku potwierdzającego zaistnienie jednej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z podstaw wykluczenia, chyba że w tym wyroku został określony inny okres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wykluczenia;</w:t>
      </w:r>
    </w:p>
    <w:p w:rsidR="00954C82" w:rsidRPr="00954C82" w:rsidRDefault="00954C82" w:rsidP="00954C82">
      <w:pPr>
        <w:numPr>
          <w:ilvl w:val="0"/>
          <w:numId w:val="7"/>
        </w:numPr>
        <w:spacing w:afterLines="200" w:after="48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przypadkach, o których mowa w:</w:t>
      </w:r>
    </w:p>
    <w:p w:rsidR="00954C82" w:rsidRPr="00954C82" w:rsidRDefault="00954C82" w:rsidP="00954C82">
      <w:pPr>
        <w:numPr>
          <w:ilvl w:val="0"/>
          <w:numId w:val="4"/>
        </w:numPr>
        <w:spacing w:afterLines="200" w:after="48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pkt. 2.2. ppkt h) i pkt. 2.3., gdy osoba, o której mowa w tych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przepisach, została skazana za przestępstwo wymienione w pkt. 2.2. ppkt h);</w:t>
      </w:r>
    </w:p>
    <w:p w:rsidR="00954C82" w:rsidRPr="00954C82" w:rsidRDefault="00954C82" w:rsidP="00954C82">
      <w:pPr>
        <w:numPr>
          <w:ilvl w:val="0"/>
          <w:numId w:val="4"/>
        </w:numPr>
        <w:spacing w:afterLines="200" w:after="48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pkt. 3.5.2. i 3.5.3.</w:t>
      </w:r>
    </w:p>
    <w:p w:rsidR="00954C82" w:rsidRPr="00954C82" w:rsidRDefault="00954C82" w:rsidP="00954C82">
      <w:pPr>
        <w:spacing w:afterLines="200" w:after="480" w:line="276" w:lineRule="auto"/>
        <w:ind w:left="714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‒ na okres 3 lat od dnia uprawomocnienia się odpowiednio wyroku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potwierdzającego zaistnienie jednej z podstaw wykluczenia, wydania ostatecznej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decyzji lub zaistnienia zdarzenia będącego podstawą wykluczenia, chyba że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wyroku lub decyzji został określony inny okres wykluczenia;</w:t>
      </w:r>
    </w:p>
    <w:p w:rsidR="00954C82" w:rsidRPr="00954C82" w:rsidRDefault="00954C82" w:rsidP="00954C82">
      <w:pPr>
        <w:numPr>
          <w:ilvl w:val="0"/>
          <w:numId w:val="7"/>
        </w:numPr>
        <w:spacing w:afterLines="200" w:after="48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przypadku, o którym mowa w pkt. 2.5., na okres, na jaki został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prawomocnie orzeczony zakaz ubiegania się o zamówienia publiczne;</w:t>
      </w:r>
    </w:p>
    <w:p w:rsidR="00954C82" w:rsidRPr="00954C82" w:rsidRDefault="00954C82" w:rsidP="00954C82">
      <w:pPr>
        <w:numPr>
          <w:ilvl w:val="0"/>
          <w:numId w:val="7"/>
        </w:numPr>
        <w:spacing w:afterLines="200" w:after="48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przypadkach, o których mowa w 2.6., pkt. 3.5.4, 3.5.5., 3.5.7., 3.5.9, na okres 3 lat od zaistnienia zdarzenia będącego podstawą wykluczenia;</w:t>
      </w:r>
    </w:p>
    <w:p w:rsidR="00954C82" w:rsidRPr="00954C82" w:rsidRDefault="00954C82" w:rsidP="00954C82">
      <w:pPr>
        <w:numPr>
          <w:ilvl w:val="0"/>
          <w:numId w:val="7"/>
        </w:numPr>
        <w:spacing w:afterLines="200" w:after="48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przypadku, o którym mowa w pkt 3.5.9., na okres 2 lat od zaistnienia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zdarzenia będącego podstawą wykluczenia;</w:t>
      </w:r>
    </w:p>
    <w:p w:rsidR="00954C82" w:rsidRPr="00954C82" w:rsidRDefault="00954C82" w:rsidP="00954C82">
      <w:pPr>
        <w:numPr>
          <w:ilvl w:val="0"/>
          <w:numId w:val="7"/>
        </w:numPr>
        <w:spacing w:afterLines="200" w:after="48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 przypadku, o którym mowa w pkt. 3.5.10., na okres roku od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zaistnienia zdarzenia będącego podstawą wykluczenia;</w:t>
      </w:r>
    </w:p>
    <w:p w:rsidR="00954C82" w:rsidRPr="00954C82" w:rsidRDefault="00954C82" w:rsidP="00954C82">
      <w:pPr>
        <w:numPr>
          <w:ilvl w:val="0"/>
          <w:numId w:val="7"/>
        </w:numPr>
        <w:spacing w:afterLines="200" w:after="48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 xml:space="preserve">w przypadkach, o których mowa w pkt 2.7. i pkt 3.5.6, w postępowaniu 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o udzielenie zamówienia, w którym zaistniało zdarzenie będące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podstawą wykluczenia.</w:t>
      </w:r>
    </w:p>
    <w:p w:rsidR="00954C82" w:rsidRPr="00954C82" w:rsidRDefault="00954C82" w:rsidP="00954C82">
      <w:pPr>
        <w:numPr>
          <w:ilvl w:val="0"/>
          <w:numId w:val="1"/>
        </w:numPr>
        <w:spacing w:afterLines="200" w:after="48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lastRenderedPageBreak/>
        <w:t xml:space="preserve">Na podstawie </w:t>
      </w:r>
      <w:r w:rsidRPr="00954C82">
        <w:rPr>
          <w:rFonts w:ascii="Times New Roman" w:eastAsia="Calibri" w:hAnsi="Times New Roman" w:cs="Times New Roman"/>
          <w:b/>
          <w:bCs/>
          <w:sz w:val="16"/>
          <w:szCs w:val="16"/>
          <w:lang w:val="x-none"/>
        </w:rPr>
        <w:t>art. 7 ust. 1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 xml:space="preserve"> </w:t>
      </w:r>
      <w:r w:rsidRPr="00954C82">
        <w:rPr>
          <w:rFonts w:ascii="Times New Roman" w:eastAsia="Calibri" w:hAnsi="Times New Roman" w:cs="Times New Roman"/>
          <w:b/>
          <w:bCs/>
          <w:sz w:val="16"/>
          <w:szCs w:val="16"/>
          <w:lang w:val="x-none"/>
        </w:rPr>
        <w:t xml:space="preserve">ustawy z dnia 13 kwietnia 2022 r. o szczególnych rozwiązaniach w zakresie przeciwdziałania wspieraniu agresji na Ukrainę oraz służących ochronie bezpieczeństwa narodowego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z postępowania o udzielenie zamówienia publicznego wyklucza się:</w:t>
      </w:r>
    </w:p>
    <w:p w:rsidR="00954C82" w:rsidRPr="00954C82" w:rsidRDefault="00954C82" w:rsidP="00954C82">
      <w:pPr>
        <w:numPr>
          <w:ilvl w:val="1"/>
          <w:numId w:val="1"/>
        </w:numPr>
        <w:spacing w:afterLines="200" w:after="480" w:line="276" w:lineRule="auto"/>
        <w:ind w:firstLine="66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 xml:space="preserve">wykonawcę oraz uczestnika konkursu wymienionego w wykazach </w:t>
      </w:r>
      <w:r w:rsidRPr="00954C8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określonych w rozporządzeniu 765/2006 i rozporządzeniu 269/2014 albo wpisanego na listę na podstawie decyzji w sprawie wpisu na listę rozstrzygającej o zastosowaniu środka, o którym mowa w art. 1 pkt 3 w/w ustawy;</w:t>
      </w:r>
    </w:p>
    <w:p w:rsidR="00954C82" w:rsidRPr="00954C82" w:rsidRDefault="00954C82" w:rsidP="00954C82">
      <w:pPr>
        <w:numPr>
          <w:ilvl w:val="1"/>
          <w:numId w:val="1"/>
        </w:numPr>
        <w:spacing w:afterLines="200" w:after="480" w:line="276" w:lineRule="auto"/>
        <w:ind w:firstLine="66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 xml:space="preserve">wykonawcę oraz uczestnika konkursu, którego beneficjentem rzeczywistym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w rozumieniu ustawy z dnia 1 marca 2018 r. o przeciwdziałaniu praniu 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954C82" w:rsidRPr="00954C82" w:rsidRDefault="00954C82" w:rsidP="00954C82">
      <w:pPr>
        <w:numPr>
          <w:ilvl w:val="1"/>
          <w:numId w:val="1"/>
        </w:numPr>
        <w:spacing w:afterLines="200" w:after="480" w:line="276" w:lineRule="auto"/>
        <w:ind w:firstLine="66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 xml:space="preserve">wykonawcę oraz uczestnika konkursu, którego jednostką dominującą </w:t>
      </w: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br/>
        <w:t>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54C82" w:rsidRPr="00954C82" w:rsidRDefault="00954C82" w:rsidP="00954C8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Wykonawca może zostać wykluczony przez zamawiającego na każdym etapie postępowania o udzielenie zamówienia.</w:t>
      </w:r>
    </w:p>
    <w:p w:rsidR="00954C82" w:rsidRPr="00954C82" w:rsidRDefault="00954C82" w:rsidP="00954C8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>Zamawiający zawiadamia równocześnie wykonawców, którzy zostali wykluczeni  z postępowania o udzielenie zamówienia, podając uzasadnienie faktyczne i prawne.</w:t>
      </w:r>
    </w:p>
    <w:p w:rsidR="00954C82" w:rsidRPr="00954C82" w:rsidRDefault="00954C82" w:rsidP="00954C8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x-none"/>
        </w:rPr>
      </w:pPr>
      <w:r w:rsidRPr="00954C82">
        <w:rPr>
          <w:rFonts w:ascii="Times New Roman" w:eastAsia="Calibri" w:hAnsi="Times New Roman" w:cs="Times New Roman"/>
          <w:sz w:val="16"/>
          <w:szCs w:val="16"/>
          <w:lang w:val="x-none"/>
        </w:rPr>
        <w:t xml:space="preserve">Zamawiający odrzuca ofertę Wykonawcy podlegającego wykluczeniu z postępowania. </w:t>
      </w:r>
    </w:p>
    <w:p w:rsidR="00954C82" w:rsidRPr="00954C82" w:rsidRDefault="00954C82" w:rsidP="00954C8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954C82" w:rsidRPr="00954C82" w:rsidRDefault="00954C82" w:rsidP="00954C8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</w:rPr>
        <w:t xml:space="preserve">Lub </w:t>
      </w:r>
    </w:p>
    <w:p w:rsidR="00954C82" w:rsidRPr="00954C82" w:rsidRDefault="00954C82" w:rsidP="00954C8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4C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</w:t>
      </w:r>
      <w:r w:rsidRPr="00954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na podstawie Rozdziału XI pkt ………………………………. warunków przetargu</w:t>
      </w:r>
      <w:r w:rsidRPr="00954C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4C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podjąłem następujące środki naprawcze: ……………………………………………………... </w:t>
      </w: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4C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…………………………………………………………………………………………... </w:t>
      </w: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4C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…………………………………………………………………………………………... </w:t>
      </w: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4C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…………………………………………………………………………………………... </w:t>
      </w: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4C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…………………………………………………………………………………………... </w:t>
      </w: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4C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lub </w:t>
      </w: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4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narodowego*</w:t>
      </w:r>
      <w:r w:rsidRPr="00954C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4C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wykonawca jest wymieniony w wykazach określonych w rozporządzeniu 765/2006 i rozporządzeniu 269/2014 albo wpisanego na listę na podstawie decyzji w sprawie wpisu na listę rozstrzygającej o zastosowaniu środka, o którym mowa w art. 1 pkt 3 w/w ustawy; </w:t>
      </w: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4C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beneficjentem rzeczywistym Wykonawcy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 </w:t>
      </w: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4C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jednostką dominującą Wykonawcy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:rsidR="00954C82" w:rsidRPr="00954C82" w:rsidRDefault="00954C82" w:rsidP="0095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4C82" w:rsidRPr="00954C82" w:rsidRDefault="00954C82" w:rsidP="00954C8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*Zaznaczyć właściwy kwadrat – jedynie w przypadku jeżeli Wykonawca podlega wykluczeniu </w:t>
      </w:r>
    </w:p>
    <w:p w:rsidR="00954C82" w:rsidRPr="00954C82" w:rsidRDefault="00954C82" w:rsidP="00954C82">
      <w:pPr>
        <w:shd w:val="clear" w:color="auto" w:fill="D9D9D9"/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II. Oświadczenie dotyczące ogólnie dostępnych i elektronicznych baz</w:t>
      </w:r>
      <w:r w:rsidRPr="00954C82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footnoteReference w:id="1"/>
      </w:r>
      <w:r w:rsidRPr="00954C82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54C82" w:rsidRPr="00954C82" w:rsidRDefault="00954C82" w:rsidP="00954C8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54C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Ogólnie dostępne i elektronicznie prowadzone bazy z których Zamawiający bezpłatnie może pozyskać określone dokumenty potwierdzające sytuację podmiotową Wykonawcy (</w:t>
      </w:r>
      <w:r w:rsidRPr="00954C8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 w:eastAsia="x-none"/>
        </w:rPr>
        <w:t>jeżeli dotyczy</w:t>
      </w:r>
      <w:r w:rsidRPr="00954C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):</w:t>
      </w:r>
    </w:p>
    <w:p w:rsidR="00954C82" w:rsidRPr="00954C82" w:rsidRDefault="00954C82" w:rsidP="00954C8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8" w:history="1">
        <w:r w:rsidRPr="00954C8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https://prod.ceidg.gov.pl/CEIDG/CEIDG.Public.UI/Search.aspx</w:t>
        </w:r>
      </w:hyperlink>
      <w:r w:rsidRPr="00954C8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</w:p>
    <w:p w:rsidR="00954C82" w:rsidRPr="00954C82" w:rsidRDefault="00954C82" w:rsidP="00954C8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bazy: Centralna Ewidencja i Informacja o Działalności Gospodarczej </w:t>
      </w:r>
    </w:p>
    <w:p w:rsidR="00954C82" w:rsidRPr="00954C82" w:rsidRDefault="00954C82" w:rsidP="00954C8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dokumentu: informacja z Centralnej Ewidencji i Informacji o Działalności Gospodarczej</w:t>
      </w:r>
    </w:p>
    <w:p w:rsidR="00954C82" w:rsidRPr="00954C82" w:rsidRDefault="00954C82" w:rsidP="00954C8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54C82" w:rsidRPr="00954C82" w:rsidRDefault="00954C82" w:rsidP="00954C8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9" w:history="1">
        <w:r w:rsidRPr="00954C8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https://ekrs.ms.gov.pl/web/wyszukiwarka-krs/strona-glowna/</w:t>
        </w:r>
      </w:hyperlink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954C82" w:rsidRPr="00954C82" w:rsidRDefault="00954C82" w:rsidP="00954C8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bazy: Krajowy Rejestr Sądowy </w:t>
      </w:r>
    </w:p>
    <w:p w:rsidR="00954C82" w:rsidRPr="00954C82" w:rsidRDefault="00954C82" w:rsidP="00954C8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dokumentu: odpis z Krajowego Rejestru Sądowego</w:t>
      </w:r>
    </w:p>
    <w:p w:rsidR="00954C82" w:rsidRPr="00954C82" w:rsidRDefault="00954C82" w:rsidP="00954C8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54C82" w:rsidRPr="00954C82" w:rsidRDefault="00954C82" w:rsidP="00954C8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954C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 właściwy rejestr: ……………………….**………..……………………………**</w:t>
      </w:r>
    </w:p>
    <w:p w:rsidR="00954C82" w:rsidRPr="00954C82" w:rsidRDefault="00954C82" w:rsidP="00954C82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54C8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(wpisać nazwę bazy)                (wpisać adres internetowy)</w:t>
      </w:r>
    </w:p>
    <w:p w:rsidR="00954C82" w:rsidRPr="00954C82" w:rsidRDefault="00954C82" w:rsidP="00954C8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54C82" w:rsidRPr="00954C82" w:rsidRDefault="00954C82" w:rsidP="00954C82">
      <w:pPr>
        <w:spacing w:after="24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954C82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Zaznaczyć właściwe pole znakiem</w:t>
      </w:r>
      <w:r w:rsidRPr="00954C82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 </w:t>
      </w:r>
      <w:r w:rsidRPr="00954C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54C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x-none" w:eastAsia="x-none"/>
        </w:rPr>
        <w:instrText xml:space="preserve"> FORMCHECKBOX </w:instrText>
      </w:r>
      <w:r w:rsidRPr="00954C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x-none" w:eastAsia="x-none"/>
        </w:rPr>
      </w:r>
      <w:r w:rsidRPr="00954C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x-none" w:eastAsia="x-none"/>
        </w:rPr>
        <w:fldChar w:fldCharType="separate"/>
      </w:r>
      <w:r w:rsidRPr="00954C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x-none" w:eastAsia="x-none"/>
        </w:rPr>
        <w:fldChar w:fldCharType="end"/>
      </w:r>
      <w:r w:rsidRPr="00954C82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.</w:t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</w:p>
    <w:p w:rsidR="00954C82" w:rsidRPr="00954C82" w:rsidRDefault="00954C82" w:rsidP="00954C82">
      <w:pPr>
        <w:shd w:val="clear" w:color="auto" w:fill="D9D9D9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</w:rPr>
        <w:t>III. Oświadczenie dotyczące podanych informacji:</w:t>
      </w:r>
    </w:p>
    <w:p w:rsidR="00954C82" w:rsidRPr="00954C82" w:rsidRDefault="00954C82" w:rsidP="00954C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C82" w:rsidRPr="00954C82" w:rsidRDefault="00954C82" w:rsidP="00954C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4C82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954C82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54C82" w:rsidRPr="00954C82" w:rsidRDefault="00954C82" w:rsidP="00954C8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4C82" w:rsidRPr="00954C82" w:rsidRDefault="00954C82" w:rsidP="00954C8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4C82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244475</wp:posOffset>
                </wp:positionV>
                <wp:extent cx="4017010" cy="762000"/>
                <wp:effectExtent l="0" t="0" r="2540" b="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C82" w:rsidRPr="000904C4" w:rsidRDefault="00954C82" w:rsidP="00954C8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904C4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left:0;text-align:left;margin-left:143.6pt;margin-top:19.25pt;width:316.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" stroked="f">
                <v:textbox>
                  <w:txbxContent>
                    <w:p w:rsidR="00954C82" w:rsidRPr="000904C4" w:rsidRDefault="00954C82" w:rsidP="00954C8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0904C4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  <w:r w:rsidRPr="00954C82">
        <w:rPr>
          <w:rFonts w:ascii="Times New Roman" w:eastAsia="Calibri" w:hAnsi="Times New Roman" w:cs="Times New Roman"/>
          <w:sz w:val="24"/>
          <w:szCs w:val="24"/>
        </w:rPr>
        <w:t>Dnia ………………</w:t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………………………………………..</w:t>
      </w:r>
    </w:p>
    <w:p w:rsidR="00954C82" w:rsidRPr="00954C82" w:rsidRDefault="00954C82" w:rsidP="00954C8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4C82" w:rsidRPr="00954C82" w:rsidRDefault="00954C82" w:rsidP="00954C82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  <w:r w:rsidRPr="00954C82">
        <w:rPr>
          <w:rFonts w:ascii="Times New Roman" w:eastAsia="Calibri" w:hAnsi="Times New Roman" w:cs="Times New Roman"/>
          <w:sz w:val="24"/>
          <w:szCs w:val="24"/>
        </w:rPr>
        <w:tab/>
      </w:r>
    </w:p>
    <w:p w:rsidR="00954C82" w:rsidRPr="00954C82" w:rsidRDefault="00954C82" w:rsidP="00954C82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954C82" w:rsidRPr="00954C82" w:rsidRDefault="00954C82" w:rsidP="00954C8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C82" w:rsidRPr="00954C82" w:rsidRDefault="00954C82" w:rsidP="00954C82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</w:rPr>
        <w:t>UWAGA!</w:t>
      </w:r>
    </w:p>
    <w:p w:rsidR="00954C82" w:rsidRPr="00954C82" w:rsidRDefault="00954C82" w:rsidP="00954C82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54C82">
        <w:rPr>
          <w:rFonts w:ascii="Times New Roman" w:eastAsia="Calibri" w:hAnsi="Times New Roman" w:cs="Times New Roman"/>
          <w:b/>
          <w:sz w:val="24"/>
          <w:szCs w:val="24"/>
        </w:rPr>
        <w:t>Zgodnie z warunkami przetargu oświadczenie to wykonawca dołącza do oferty składanej w odpowiedzi na ogłoszenie o zamówieniu – jeżeli dotyczy</w:t>
      </w:r>
    </w:p>
    <w:p w:rsidR="00954C82" w:rsidRPr="00954C82" w:rsidRDefault="00954C82" w:rsidP="00954C82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54C82" w:rsidRPr="00954C82" w:rsidRDefault="00954C82" w:rsidP="00954C82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54C82" w:rsidRPr="00954C82" w:rsidRDefault="00954C82" w:rsidP="00954C82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667DF" w:rsidRDefault="00F667DF">
      <w:bookmarkStart w:id="0" w:name="_GoBack"/>
      <w:bookmarkEnd w:id="0"/>
    </w:p>
    <w:sectPr w:rsidR="00F66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A0D" w:rsidRDefault="00362A0D" w:rsidP="00954C82">
      <w:pPr>
        <w:spacing w:after="0" w:line="240" w:lineRule="auto"/>
      </w:pPr>
      <w:r>
        <w:separator/>
      </w:r>
    </w:p>
  </w:endnote>
  <w:endnote w:type="continuationSeparator" w:id="0">
    <w:p w:rsidR="00362A0D" w:rsidRDefault="00362A0D" w:rsidP="00954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A0D" w:rsidRDefault="00362A0D" w:rsidP="00954C82">
      <w:pPr>
        <w:spacing w:after="0" w:line="240" w:lineRule="auto"/>
      </w:pPr>
      <w:r>
        <w:separator/>
      </w:r>
    </w:p>
  </w:footnote>
  <w:footnote w:type="continuationSeparator" w:id="0">
    <w:p w:rsidR="00362A0D" w:rsidRDefault="00362A0D" w:rsidP="00954C82">
      <w:pPr>
        <w:spacing w:after="0" w:line="240" w:lineRule="auto"/>
      </w:pPr>
      <w:r>
        <w:continuationSeparator/>
      </w:r>
    </w:p>
  </w:footnote>
  <w:footnote w:id="1">
    <w:p w:rsidR="00954C82" w:rsidRDefault="00954C82" w:rsidP="00954C82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65E4D48"/>
    <w:styleLink w:val="Styl54"/>
    <w:lvl w:ilvl="0" w:tplc="D65E4D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B378E"/>
    <w:multiLevelType w:val="hybridMultilevel"/>
    <w:tmpl w:val="1BC22D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1F0F81"/>
    <w:multiLevelType w:val="multilevel"/>
    <w:tmpl w:val="A9C8E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24" w:hanging="1800"/>
      </w:pPr>
      <w:rPr>
        <w:rFonts w:hint="default"/>
      </w:rPr>
    </w:lvl>
  </w:abstractNum>
  <w:abstractNum w:abstractNumId="3" w15:restartNumberingAfterBreak="0">
    <w:nsid w:val="2FCB3F7A"/>
    <w:multiLevelType w:val="hybridMultilevel"/>
    <w:tmpl w:val="4ACE4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755AB"/>
    <w:multiLevelType w:val="multilevel"/>
    <w:tmpl w:val="3F32AA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04A29ED"/>
    <w:multiLevelType w:val="hybridMultilevel"/>
    <w:tmpl w:val="2B141678"/>
    <w:lvl w:ilvl="0" w:tplc="04150017">
      <w:start w:val="1"/>
      <w:numFmt w:val="lowerLetter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836C4B"/>
    <w:multiLevelType w:val="hybridMultilevel"/>
    <w:tmpl w:val="8D4C1FF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D82"/>
    <w:rsid w:val="00362A0D"/>
    <w:rsid w:val="00821D82"/>
    <w:rsid w:val="00954C82"/>
    <w:rsid w:val="00F6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A46A23-E5C9-4926-B66E-057B2EC0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4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82"/>
  </w:style>
  <w:style w:type="paragraph" w:styleId="Stopka">
    <w:name w:val="footer"/>
    <w:basedOn w:val="Normalny"/>
    <w:link w:val="StopkaZnak"/>
    <w:uiPriority w:val="99"/>
    <w:unhideWhenUsed/>
    <w:rsid w:val="00954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82"/>
  </w:style>
  <w:style w:type="paragraph" w:styleId="Tekstprzypisudolnego">
    <w:name w:val="footnote text"/>
    <w:basedOn w:val="Normalny"/>
    <w:link w:val="TekstprzypisudolnegoZnak"/>
    <w:uiPriority w:val="99"/>
    <w:rsid w:val="00954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4C82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54">
    <w:name w:val="Styl54"/>
    <w:rsid w:val="00954C8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1394D7-3D96-406C-99E2-BE73098987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2854</Words>
  <Characters>17124</Characters>
  <Application>Microsoft Office Word</Application>
  <DocSecurity>0</DocSecurity>
  <Lines>142</Lines>
  <Paragraphs>39</Paragraphs>
  <ScaleCrop>false</ScaleCrop>
  <Company>Resort Obrony Narodowej</Company>
  <LinksUpToDate>false</LinksUpToDate>
  <CharactersWithSpaces>19939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2024-11-14T11:49:00Z</dcterms:created>
  <dcterms:modified xsi:type="dcterms:W3CDTF">2024-11-14T11:50:00Z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d9417414-2e71-4781-9c42-44f7d786de19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