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9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</w:t>
      </w:r>
      <w:r>
        <w:rPr>
          <w:rFonts w:cs="Arial" w:ascii="Arial" w:hAnsi="Arial"/>
          <w:sz w:val="22"/>
          <w:szCs w:val="22"/>
          <w:lang w:val="pl-PL"/>
        </w:rPr>
        <w:t>Wykonawca</w:t>
      </w:r>
      <w:r>
        <w:rPr>
          <w:rFonts w:cs="Arial" w:ascii="Arial" w:hAnsi="Arial"/>
          <w:sz w:val="22"/>
          <w:szCs w:val="22"/>
          <w:lang w:val="pl-PL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06pt;height:12.7pt" type="#_x0000_t75"/>
          <w:control r:id="rId4" w:name="unnamed0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283.5pt;height:12.7pt" type="#_x0000_t75"/>
          <w:control r:id="rId5" w:name="unnamed1" w:shapeid="control_shape_3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70pt" type="#_x0000_t75"/>
          <w:control r:id="rId7" w:name="Pole tekstowe: środki naprawcze" w:shapeid="control_shape_5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304</Words>
  <Characters>1986</Characters>
  <CharactersWithSpaces>2273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2021-11-17T08:34:49Z</dcterms:modified>
  <cp:revision>2</cp:revision>
  <dc:subject/>
  <dc:title/>
</cp:coreProperties>
</file>