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36" w:type="pct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9199"/>
      </w:tblGrid>
      <w:tr w:rsidR="00FC2FF8" w:rsidRPr="00C04096" w14:paraId="2941246C" w14:textId="77777777" w:rsidTr="00BF4C83">
        <w:tc>
          <w:tcPr>
            <w:tcW w:w="229" w:type="pct"/>
            <w:vAlign w:val="center"/>
          </w:tcPr>
          <w:p w14:paraId="4CDDBA43" w14:textId="013CB178" w:rsidR="00FC2FF8" w:rsidRPr="00C04096" w:rsidRDefault="00FC2FF8" w:rsidP="00BF4C83">
            <w:pPr>
              <w:jc w:val="both"/>
            </w:pPr>
          </w:p>
        </w:tc>
        <w:tc>
          <w:tcPr>
            <w:tcW w:w="4771" w:type="pct"/>
            <w:vAlign w:val="center"/>
          </w:tcPr>
          <w:p w14:paraId="713F6CE3" w14:textId="77777777" w:rsidR="00FC2FF8" w:rsidRPr="00C04096" w:rsidRDefault="00FC2FF8" w:rsidP="00BF4C83">
            <w:pPr>
              <w:jc w:val="both"/>
              <w:rPr>
                <w:b/>
              </w:rPr>
            </w:pPr>
            <w:r w:rsidRPr="00C04096">
              <w:rPr>
                <w:b/>
              </w:rPr>
              <w:t>Wymagane warunki techniczne i eksploatacyjne defibrylatorów</w:t>
            </w:r>
          </w:p>
        </w:tc>
      </w:tr>
      <w:tr w:rsidR="00FC2FF8" w:rsidRPr="00C04096" w14:paraId="7114CE47" w14:textId="77777777" w:rsidTr="00BF4C83">
        <w:tc>
          <w:tcPr>
            <w:tcW w:w="229" w:type="pct"/>
          </w:tcPr>
          <w:p w14:paraId="431F02B3" w14:textId="77777777" w:rsidR="00FC2FF8" w:rsidRPr="00C04096" w:rsidRDefault="00FC2FF8" w:rsidP="00BF4C83">
            <w:pPr>
              <w:jc w:val="both"/>
              <w:rPr>
                <w:b/>
              </w:rPr>
            </w:pPr>
            <w:r w:rsidRPr="00C04096">
              <w:rPr>
                <w:b/>
              </w:rPr>
              <w:t>1</w:t>
            </w:r>
          </w:p>
        </w:tc>
        <w:tc>
          <w:tcPr>
            <w:tcW w:w="4771" w:type="pct"/>
            <w:vAlign w:val="bottom"/>
          </w:tcPr>
          <w:p w14:paraId="17B7611A" w14:textId="77777777" w:rsidR="00FC2FF8" w:rsidRPr="00C04096" w:rsidRDefault="00FC2FF8" w:rsidP="00BF4C83">
            <w:pPr>
              <w:jc w:val="both"/>
            </w:pPr>
            <w:r w:rsidRPr="00C04096">
              <w:t>Półautomatyczny, prosty w obsłudze, niezawodny i zawsze gotowy do użycia, działanie według komend głosowych wydawanych przez urządzenie;</w:t>
            </w:r>
          </w:p>
        </w:tc>
      </w:tr>
      <w:tr w:rsidR="00FC2FF8" w:rsidRPr="00C04096" w14:paraId="63D1D487" w14:textId="77777777" w:rsidTr="00BF4C83">
        <w:tc>
          <w:tcPr>
            <w:tcW w:w="229" w:type="pct"/>
          </w:tcPr>
          <w:p w14:paraId="463A5D99" w14:textId="77777777" w:rsidR="00FC2FF8" w:rsidRPr="00C04096" w:rsidRDefault="00FC2FF8" w:rsidP="00BF4C83">
            <w:pPr>
              <w:jc w:val="both"/>
              <w:rPr>
                <w:b/>
              </w:rPr>
            </w:pPr>
            <w:r w:rsidRPr="00C04096">
              <w:rPr>
                <w:b/>
              </w:rPr>
              <w:t>2</w:t>
            </w:r>
          </w:p>
        </w:tc>
        <w:tc>
          <w:tcPr>
            <w:tcW w:w="4771" w:type="pct"/>
            <w:vAlign w:val="bottom"/>
          </w:tcPr>
          <w:p w14:paraId="48258E53" w14:textId="56F92E78" w:rsidR="00FC2FF8" w:rsidRPr="00C04096" w:rsidRDefault="002927D9" w:rsidP="00BF4C83">
            <w:pPr>
              <w:jc w:val="both"/>
            </w:pPr>
            <w:r>
              <w:t>Wyposażony w minimum 2 komplety</w:t>
            </w:r>
            <w:r w:rsidR="00E93A75" w:rsidRPr="00C04096">
              <w:t xml:space="preserve"> elektrod uniwersalnych dla dorosłych i dla dzieci. Elektrody jednorazowe, wymienne bez konieczności wymiany baterii, o terminie przydatności minimum 24 miesiące (konwersja do trybu pediatrycznego poprzez klucz pediatryczny lub przycisk).</w:t>
            </w:r>
          </w:p>
        </w:tc>
      </w:tr>
      <w:tr w:rsidR="00FC2FF8" w:rsidRPr="00C04096" w14:paraId="4E031C8A" w14:textId="77777777" w:rsidTr="00BF4C83">
        <w:tc>
          <w:tcPr>
            <w:tcW w:w="229" w:type="pct"/>
          </w:tcPr>
          <w:p w14:paraId="03D318BC" w14:textId="77777777" w:rsidR="00FC2FF8" w:rsidRPr="00C04096" w:rsidRDefault="00FC2FF8" w:rsidP="00BF4C83">
            <w:pPr>
              <w:jc w:val="both"/>
              <w:rPr>
                <w:b/>
              </w:rPr>
            </w:pPr>
            <w:r w:rsidRPr="00C04096">
              <w:rPr>
                <w:b/>
              </w:rPr>
              <w:t>3</w:t>
            </w:r>
          </w:p>
        </w:tc>
        <w:tc>
          <w:tcPr>
            <w:tcW w:w="4771" w:type="pct"/>
            <w:vAlign w:val="bottom"/>
          </w:tcPr>
          <w:p w14:paraId="5468A808" w14:textId="6CEC8980" w:rsidR="00FC2FF8" w:rsidRPr="00C04096" w:rsidRDefault="00FC2FF8" w:rsidP="00BF4C83">
            <w:pPr>
              <w:jc w:val="both"/>
            </w:pPr>
            <w:r w:rsidRPr="00C04096">
              <w:t>Defibrylator musi być bezpieczny dla użytkownika i pacjenta; np. możliwość użycia na mokrej i metalowej powierzchni</w:t>
            </w:r>
            <w:r w:rsidR="00F37F17" w:rsidRPr="00C04096">
              <w:t xml:space="preserve"> potwierdzona</w:t>
            </w:r>
            <w:r w:rsidR="00F720DC">
              <w:t xml:space="preserve"> badaniami i</w:t>
            </w:r>
            <w:r w:rsidR="00F37F17" w:rsidRPr="00C04096">
              <w:t xml:space="preserve"> notą techniczną producenta</w:t>
            </w:r>
            <w:r w:rsidRPr="00C04096">
              <w:t xml:space="preserve">. </w:t>
            </w:r>
          </w:p>
        </w:tc>
      </w:tr>
      <w:tr w:rsidR="00FC2FF8" w:rsidRPr="00C04096" w14:paraId="1EE89602" w14:textId="77777777" w:rsidTr="00BF4C83">
        <w:trPr>
          <w:trHeight w:val="361"/>
        </w:trPr>
        <w:tc>
          <w:tcPr>
            <w:tcW w:w="229" w:type="pct"/>
            <w:vMerge w:val="restart"/>
          </w:tcPr>
          <w:p w14:paraId="686AA79B" w14:textId="77777777" w:rsidR="00FC2FF8" w:rsidRPr="00C04096" w:rsidRDefault="00FC2FF8" w:rsidP="00BF4C83">
            <w:pPr>
              <w:jc w:val="both"/>
              <w:rPr>
                <w:b/>
              </w:rPr>
            </w:pPr>
            <w:r w:rsidRPr="00C04096">
              <w:rPr>
                <w:b/>
              </w:rPr>
              <w:t>4</w:t>
            </w:r>
          </w:p>
        </w:tc>
        <w:tc>
          <w:tcPr>
            <w:tcW w:w="4771" w:type="pct"/>
            <w:vAlign w:val="bottom"/>
          </w:tcPr>
          <w:p w14:paraId="12DC34D2" w14:textId="0882D14A" w:rsidR="00BF4C83" w:rsidRPr="00C04096" w:rsidRDefault="00FC2FF8" w:rsidP="00BF4C83">
            <w:pPr>
              <w:jc w:val="both"/>
              <w:rPr>
                <w:b/>
              </w:rPr>
            </w:pPr>
            <w:r w:rsidRPr="00C04096">
              <w:rPr>
                <w:b/>
              </w:rPr>
              <w:t>Wymagane warunki techniczne i eksploatacyjne defibrylatorów:</w:t>
            </w:r>
          </w:p>
          <w:p w14:paraId="28DF706C" w14:textId="77777777" w:rsidR="00FC2FF8" w:rsidRPr="00C04096" w:rsidRDefault="00FC2FF8" w:rsidP="00BF4C83">
            <w:pPr>
              <w:pStyle w:val="Akapitzlist"/>
              <w:ind w:left="0"/>
              <w:contextualSpacing/>
              <w:jc w:val="both"/>
            </w:pPr>
            <w:r w:rsidRPr="00C04096">
              <w:t>a) zautomatyzowany defibrylator zewnętrzny z możliwością pracy w trybie dla dorosłych i dla dzieci;</w:t>
            </w:r>
          </w:p>
        </w:tc>
      </w:tr>
      <w:tr w:rsidR="00FC2FF8" w:rsidRPr="00C04096" w14:paraId="28761214" w14:textId="77777777" w:rsidTr="00BF4C83">
        <w:trPr>
          <w:trHeight w:val="426"/>
        </w:trPr>
        <w:tc>
          <w:tcPr>
            <w:tcW w:w="229" w:type="pct"/>
            <w:vMerge/>
          </w:tcPr>
          <w:p w14:paraId="5BCF9C19" w14:textId="77777777" w:rsidR="00FC2FF8" w:rsidRPr="00C04096" w:rsidRDefault="00FC2FF8" w:rsidP="00BF4C83">
            <w:pPr>
              <w:jc w:val="both"/>
              <w:rPr>
                <w:b/>
              </w:rPr>
            </w:pPr>
          </w:p>
        </w:tc>
        <w:tc>
          <w:tcPr>
            <w:tcW w:w="4771" w:type="pct"/>
            <w:vAlign w:val="center"/>
          </w:tcPr>
          <w:p w14:paraId="46A44EF6" w14:textId="1BE05753" w:rsidR="00BF4C83" w:rsidRPr="00C04096" w:rsidRDefault="00FC2FF8" w:rsidP="00BF4C83">
            <w:pPr>
              <w:pStyle w:val="Akapitzlist"/>
              <w:ind w:left="0"/>
              <w:contextualSpacing/>
              <w:jc w:val="both"/>
            </w:pPr>
            <w:r w:rsidRPr="00C04096">
              <w:t xml:space="preserve">b) Wyposażony w </w:t>
            </w:r>
            <w:r w:rsidR="00E576E9">
              <w:t>komplet baterii nieładowalnych objęty</w:t>
            </w:r>
            <w:r w:rsidRPr="00C04096">
              <w:t xml:space="preserve"> gwarancją producenta na okres min. 4 lat,</w:t>
            </w:r>
          </w:p>
        </w:tc>
      </w:tr>
      <w:tr w:rsidR="00FC2FF8" w:rsidRPr="00C04096" w14:paraId="0FDC42D2" w14:textId="77777777" w:rsidTr="00BF4C83">
        <w:trPr>
          <w:trHeight w:val="461"/>
        </w:trPr>
        <w:tc>
          <w:tcPr>
            <w:tcW w:w="229" w:type="pct"/>
            <w:vMerge/>
          </w:tcPr>
          <w:p w14:paraId="54A05385" w14:textId="77777777" w:rsidR="00FC2FF8" w:rsidRPr="00C04096" w:rsidRDefault="00FC2FF8" w:rsidP="00BF4C83">
            <w:pPr>
              <w:jc w:val="both"/>
              <w:rPr>
                <w:b/>
              </w:rPr>
            </w:pPr>
          </w:p>
        </w:tc>
        <w:tc>
          <w:tcPr>
            <w:tcW w:w="4771" w:type="pct"/>
            <w:vAlign w:val="center"/>
          </w:tcPr>
          <w:p w14:paraId="25B0EF62" w14:textId="744E268D" w:rsidR="00FC2FF8" w:rsidRPr="00C04096" w:rsidRDefault="002927D9" w:rsidP="00BF4C83">
            <w:pPr>
              <w:pStyle w:val="Akapitzlist"/>
              <w:ind w:left="0"/>
              <w:contextualSpacing/>
              <w:jc w:val="both"/>
            </w:pPr>
            <w:r>
              <w:t>c) Wyposażony w komplet baterii zapewniających razem nie mniej niż 3</w:t>
            </w:r>
            <w:r w:rsidR="00FC2FF8" w:rsidRPr="00C04096">
              <w:t xml:space="preserve">00 wyładowań maksymalną energią. </w:t>
            </w:r>
          </w:p>
        </w:tc>
      </w:tr>
      <w:tr w:rsidR="00FC2FF8" w:rsidRPr="00C04096" w14:paraId="1BCE40A3" w14:textId="77777777" w:rsidTr="00BF4C83">
        <w:trPr>
          <w:trHeight w:val="485"/>
        </w:trPr>
        <w:tc>
          <w:tcPr>
            <w:tcW w:w="229" w:type="pct"/>
            <w:vMerge/>
          </w:tcPr>
          <w:p w14:paraId="0FFC18F5" w14:textId="77777777" w:rsidR="00FC2FF8" w:rsidRPr="00C04096" w:rsidRDefault="00FC2FF8" w:rsidP="00BF4C83">
            <w:pPr>
              <w:jc w:val="both"/>
              <w:rPr>
                <w:b/>
              </w:rPr>
            </w:pPr>
          </w:p>
        </w:tc>
        <w:tc>
          <w:tcPr>
            <w:tcW w:w="4771" w:type="pct"/>
            <w:vAlign w:val="center"/>
          </w:tcPr>
          <w:p w14:paraId="555617FD" w14:textId="77777777" w:rsidR="00FC2FF8" w:rsidRPr="00C04096" w:rsidRDefault="00FC2FF8" w:rsidP="00BF4C83">
            <w:pPr>
              <w:pStyle w:val="Akapitzlist"/>
              <w:ind w:left="0"/>
              <w:contextualSpacing/>
              <w:jc w:val="both"/>
            </w:pPr>
            <w:r w:rsidRPr="00C04096">
              <w:t>d) wyposażony we wskaźniki dźwiękowe lub/i wizualne informujące o:</w:t>
            </w:r>
          </w:p>
          <w:p w14:paraId="62E32C76" w14:textId="21608AC3" w:rsidR="00FC2FF8" w:rsidRPr="00C04096" w:rsidRDefault="00F37F17" w:rsidP="00BF4C83">
            <w:pPr>
              <w:pStyle w:val="Akapitzlist"/>
              <w:ind w:left="0"/>
              <w:contextualSpacing/>
              <w:jc w:val="both"/>
            </w:pPr>
            <w:r w:rsidRPr="00C04096">
              <w:t>- N</w:t>
            </w:r>
            <w:r w:rsidR="00FC2FF8" w:rsidRPr="00C04096">
              <w:t>ieprawidłowym podłączeniu elektrod lub ich braku;</w:t>
            </w:r>
          </w:p>
          <w:p w14:paraId="402D85C1" w14:textId="77777777" w:rsidR="00FC2FF8" w:rsidRPr="00C04096" w:rsidRDefault="00FC2FF8" w:rsidP="00BF4C83">
            <w:pPr>
              <w:pStyle w:val="Akapitzlist"/>
              <w:ind w:left="0"/>
              <w:contextualSpacing/>
              <w:jc w:val="both"/>
            </w:pPr>
            <w:r w:rsidRPr="00C04096">
              <w:t>- Wymaganej defibrylacji lub braku wskazań do jej przeprowadzenia;</w:t>
            </w:r>
          </w:p>
          <w:p w14:paraId="2D71239E" w14:textId="77777777" w:rsidR="00FC2FF8" w:rsidRPr="00C04096" w:rsidRDefault="00FC2FF8" w:rsidP="00BF4C83">
            <w:pPr>
              <w:pStyle w:val="Akapitzlist"/>
              <w:ind w:left="0"/>
              <w:contextualSpacing/>
              <w:jc w:val="both"/>
            </w:pPr>
            <w:r w:rsidRPr="00C04096">
              <w:t>- W prowadzonej analizie rytmu pracy serca i ewentualnych zakłóceniach (np. o wykrytym ruchu pacjenta);</w:t>
            </w:r>
          </w:p>
          <w:p w14:paraId="68702A74" w14:textId="22D08DB0" w:rsidR="00FC2FF8" w:rsidRPr="00C04096" w:rsidRDefault="00FC2FF8" w:rsidP="00BF4C83">
            <w:pPr>
              <w:pStyle w:val="Akapitzlist"/>
              <w:ind w:left="0"/>
              <w:contextualSpacing/>
              <w:jc w:val="both"/>
            </w:pPr>
            <w:r w:rsidRPr="00C04096">
              <w:t xml:space="preserve">- </w:t>
            </w:r>
            <w:r w:rsidR="00F37F17" w:rsidRPr="00C04096">
              <w:t>G</w:t>
            </w:r>
            <w:r w:rsidRPr="00C04096">
              <w:t>otowości urządzenia do pracy;</w:t>
            </w:r>
          </w:p>
          <w:p w14:paraId="1DA3B7F6" w14:textId="77777777" w:rsidR="00BF4C83" w:rsidRDefault="00F37F17" w:rsidP="00BF4C83">
            <w:pPr>
              <w:pStyle w:val="Akapitzlist"/>
              <w:ind w:left="0"/>
              <w:contextualSpacing/>
              <w:jc w:val="both"/>
            </w:pPr>
            <w:r w:rsidRPr="00C04096">
              <w:t>- T</w:t>
            </w:r>
            <w:r w:rsidR="00FC2FF8" w:rsidRPr="00C04096">
              <w:t>echnicznej sprawności urządzenia (w tym jakości elektrod) lub jej braku.</w:t>
            </w:r>
          </w:p>
          <w:p w14:paraId="32199DFA" w14:textId="484E5C6E" w:rsidR="00BF4C83" w:rsidRPr="00C04096" w:rsidRDefault="00BF4C83" w:rsidP="00BF4C83">
            <w:pPr>
              <w:pStyle w:val="Akapitzlist"/>
              <w:ind w:left="0"/>
              <w:contextualSpacing/>
              <w:jc w:val="both"/>
            </w:pPr>
            <w:r>
              <w:t xml:space="preserve">e) wyposażony w uchwyt, wykonany ze stali odpornej na korozję,  umożliwiający mocowanie defibrylatora do ściany pojazdu/łodzi </w:t>
            </w:r>
          </w:p>
        </w:tc>
      </w:tr>
      <w:tr w:rsidR="00FC2FF8" w:rsidRPr="00C04096" w14:paraId="15A5836E" w14:textId="77777777" w:rsidTr="00BF4C83">
        <w:trPr>
          <w:trHeight w:val="455"/>
        </w:trPr>
        <w:tc>
          <w:tcPr>
            <w:tcW w:w="229" w:type="pct"/>
            <w:vMerge w:val="restart"/>
          </w:tcPr>
          <w:p w14:paraId="52926543" w14:textId="77777777" w:rsidR="00FC2FF8" w:rsidRPr="00C04096" w:rsidRDefault="00FC2FF8" w:rsidP="00BF4C83">
            <w:pPr>
              <w:jc w:val="both"/>
              <w:rPr>
                <w:b/>
              </w:rPr>
            </w:pPr>
            <w:r w:rsidRPr="00C04096">
              <w:rPr>
                <w:b/>
              </w:rPr>
              <w:t>5</w:t>
            </w:r>
          </w:p>
        </w:tc>
        <w:tc>
          <w:tcPr>
            <w:tcW w:w="4771" w:type="pct"/>
            <w:vAlign w:val="bottom"/>
          </w:tcPr>
          <w:p w14:paraId="55439015" w14:textId="77777777" w:rsidR="00FC2FF8" w:rsidRPr="00C04096" w:rsidRDefault="00FC2FF8" w:rsidP="00BF4C83">
            <w:pPr>
              <w:jc w:val="both"/>
              <w:rPr>
                <w:b/>
              </w:rPr>
            </w:pPr>
            <w:r w:rsidRPr="00C04096">
              <w:rPr>
                <w:b/>
              </w:rPr>
              <w:t>Wymagania dotyczące pracy, rejestrowania i przenoszenia danych:</w:t>
            </w:r>
          </w:p>
          <w:p w14:paraId="1BFB602E" w14:textId="77777777" w:rsidR="00FC2FF8" w:rsidRPr="00C04096" w:rsidRDefault="00FC2FF8" w:rsidP="00BF4C83">
            <w:pPr>
              <w:pStyle w:val="Akapitzlist"/>
              <w:ind w:left="0"/>
              <w:contextualSpacing/>
              <w:jc w:val="both"/>
            </w:pPr>
            <w:r w:rsidRPr="00C04096">
              <w:t>a) Algorytm postępowania zgodny z aktualnymi, obowiązującymi wytycznymi Europejskiej Rady Resuscytacji.</w:t>
            </w:r>
          </w:p>
        </w:tc>
      </w:tr>
      <w:tr w:rsidR="00FC2FF8" w:rsidRPr="00C04096" w14:paraId="469512F4" w14:textId="77777777" w:rsidTr="00BF4C83">
        <w:trPr>
          <w:trHeight w:val="405"/>
        </w:trPr>
        <w:tc>
          <w:tcPr>
            <w:tcW w:w="229" w:type="pct"/>
            <w:vMerge/>
          </w:tcPr>
          <w:p w14:paraId="09AFC7B7" w14:textId="77777777" w:rsidR="00FC2FF8" w:rsidRPr="00C04096" w:rsidRDefault="00FC2FF8" w:rsidP="00BF4C83">
            <w:pPr>
              <w:jc w:val="both"/>
              <w:rPr>
                <w:b/>
              </w:rPr>
            </w:pPr>
          </w:p>
        </w:tc>
        <w:tc>
          <w:tcPr>
            <w:tcW w:w="4771" w:type="pct"/>
            <w:vAlign w:val="center"/>
          </w:tcPr>
          <w:p w14:paraId="378D6629" w14:textId="38B6FCE2" w:rsidR="00FC2FF8" w:rsidRPr="00C04096" w:rsidRDefault="00FC2FF8" w:rsidP="00BF4C83">
            <w:pPr>
              <w:pStyle w:val="Akapitzlist"/>
              <w:ind w:left="0"/>
              <w:contextualSpacing/>
              <w:jc w:val="both"/>
            </w:pPr>
            <w:r w:rsidRPr="00C04096">
              <w:t>b) Czas analizy pracy serca poszkodowanego oraz ładowania defibrylatora do pożądanego poziomu energii</w:t>
            </w:r>
            <w:r w:rsidR="004C4F7C">
              <w:t xml:space="preserve"> impulsu </w:t>
            </w:r>
            <w:proofErr w:type="spellStart"/>
            <w:r w:rsidR="004C4F7C">
              <w:t>defibrylacyjnego</w:t>
            </w:r>
            <w:proofErr w:type="spellEnd"/>
            <w:r w:rsidR="004C4F7C">
              <w:t xml:space="preserve"> max 8</w:t>
            </w:r>
            <w:r w:rsidRPr="00C04096">
              <w:t xml:space="preserve"> sekund.</w:t>
            </w:r>
          </w:p>
        </w:tc>
      </w:tr>
      <w:tr w:rsidR="00FC2FF8" w:rsidRPr="00C04096" w14:paraId="09BB5C1B" w14:textId="77777777" w:rsidTr="00BF4C83">
        <w:trPr>
          <w:trHeight w:val="424"/>
        </w:trPr>
        <w:tc>
          <w:tcPr>
            <w:tcW w:w="229" w:type="pct"/>
            <w:vMerge/>
          </w:tcPr>
          <w:p w14:paraId="6004EF3C" w14:textId="77777777" w:rsidR="00FC2FF8" w:rsidRPr="00C04096" w:rsidRDefault="00FC2FF8" w:rsidP="00BF4C83">
            <w:pPr>
              <w:jc w:val="both"/>
              <w:rPr>
                <w:b/>
              </w:rPr>
            </w:pPr>
          </w:p>
        </w:tc>
        <w:tc>
          <w:tcPr>
            <w:tcW w:w="4771" w:type="pct"/>
            <w:vAlign w:val="center"/>
          </w:tcPr>
          <w:p w14:paraId="385AAD69" w14:textId="395577DD" w:rsidR="00FC2FF8" w:rsidRPr="00C04096" w:rsidRDefault="00FC2FF8" w:rsidP="00BF4C83">
            <w:pPr>
              <w:jc w:val="both"/>
            </w:pPr>
            <w:r w:rsidRPr="00C04096">
              <w:t xml:space="preserve">c) </w:t>
            </w:r>
            <w:r w:rsidR="00F37F17" w:rsidRPr="00C04096">
              <w:t>M</w:t>
            </w:r>
            <w:r w:rsidRPr="00C04096">
              <w:t>ożliwość aktualizacji oprogramowania bez konieczności wymiany całego urządzenia w przypadku zmiany wytycznych.</w:t>
            </w:r>
          </w:p>
        </w:tc>
      </w:tr>
      <w:tr w:rsidR="00FC2FF8" w:rsidRPr="00C04096" w14:paraId="00205381" w14:textId="77777777" w:rsidTr="00BF4C83">
        <w:trPr>
          <w:trHeight w:val="417"/>
        </w:trPr>
        <w:tc>
          <w:tcPr>
            <w:tcW w:w="229" w:type="pct"/>
            <w:vMerge/>
          </w:tcPr>
          <w:p w14:paraId="73C92BCE" w14:textId="77777777" w:rsidR="00FC2FF8" w:rsidRPr="00C04096" w:rsidRDefault="00FC2FF8" w:rsidP="00BF4C83">
            <w:pPr>
              <w:jc w:val="both"/>
              <w:rPr>
                <w:b/>
              </w:rPr>
            </w:pPr>
          </w:p>
        </w:tc>
        <w:tc>
          <w:tcPr>
            <w:tcW w:w="4771" w:type="pct"/>
            <w:vAlign w:val="center"/>
          </w:tcPr>
          <w:p w14:paraId="07A2804A" w14:textId="7C6A6A85" w:rsidR="00FC2FF8" w:rsidRPr="00C04096" w:rsidRDefault="00FC2FF8" w:rsidP="00BF4C83">
            <w:pPr>
              <w:jc w:val="both"/>
            </w:pPr>
            <w:r w:rsidRPr="00C04096">
              <w:t>d) Urządzenie przeprowadza automatyczne testy sprawności technicznej wraz z przydatnością elektrod</w:t>
            </w:r>
            <w:r w:rsidR="00F37F17" w:rsidRPr="00C04096">
              <w:t xml:space="preserve"> (np. żel)</w:t>
            </w:r>
            <w:r w:rsidRPr="00C04096">
              <w:t xml:space="preserve"> w cyklu codziennym</w:t>
            </w:r>
            <w:r w:rsidRPr="00C04096">
              <w:rPr>
                <w:color w:val="000000"/>
              </w:rPr>
              <w:t>.</w:t>
            </w:r>
          </w:p>
        </w:tc>
      </w:tr>
      <w:tr w:rsidR="00FC2FF8" w:rsidRPr="00C04096" w14:paraId="3D18D699" w14:textId="77777777" w:rsidTr="00BF4C83">
        <w:trPr>
          <w:trHeight w:val="241"/>
        </w:trPr>
        <w:tc>
          <w:tcPr>
            <w:tcW w:w="229" w:type="pct"/>
            <w:vMerge/>
          </w:tcPr>
          <w:p w14:paraId="73302D50" w14:textId="77777777" w:rsidR="00FC2FF8" w:rsidRPr="00C04096" w:rsidRDefault="00FC2FF8" w:rsidP="00BF4C83">
            <w:pPr>
              <w:jc w:val="both"/>
              <w:rPr>
                <w:b/>
              </w:rPr>
            </w:pPr>
          </w:p>
        </w:tc>
        <w:tc>
          <w:tcPr>
            <w:tcW w:w="4771" w:type="pct"/>
            <w:vAlign w:val="center"/>
          </w:tcPr>
          <w:p w14:paraId="1A4751C6" w14:textId="77777777" w:rsidR="00FC2FF8" w:rsidRPr="00C04096" w:rsidRDefault="00FC2FF8" w:rsidP="00BF4C83">
            <w:pPr>
              <w:jc w:val="both"/>
            </w:pPr>
            <w:r w:rsidRPr="00C04096">
              <w:t>e) Posiada możliwość przechowywania defibrylatora z podłączonymi elektrodami.</w:t>
            </w:r>
          </w:p>
        </w:tc>
      </w:tr>
      <w:tr w:rsidR="00FC2FF8" w:rsidRPr="00C04096" w14:paraId="024651AA" w14:textId="77777777" w:rsidTr="00BF4C83">
        <w:trPr>
          <w:trHeight w:val="384"/>
        </w:trPr>
        <w:tc>
          <w:tcPr>
            <w:tcW w:w="229" w:type="pct"/>
            <w:vMerge w:val="restart"/>
          </w:tcPr>
          <w:p w14:paraId="7CED71DD" w14:textId="77777777" w:rsidR="00FC2FF8" w:rsidRPr="00C04096" w:rsidRDefault="00FC2FF8" w:rsidP="00BF4C83">
            <w:pPr>
              <w:jc w:val="both"/>
              <w:rPr>
                <w:b/>
              </w:rPr>
            </w:pPr>
            <w:r w:rsidRPr="00C04096">
              <w:rPr>
                <w:b/>
              </w:rPr>
              <w:t>6</w:t>
            </w:r>
          </w:p>
        </w:tc>
        <w:tc>
          <w:tcPr>
            <w:tcW w:w="4771" w:type="pct"/>
            <w:vAlign w:val="bottom"/>
          </w:tcPr>
          <w:p w14:paraId="3C3613A9" w14:textId="77777777" w:rsidR="00FC2FF8" w:rsidRPr="00C04096" w:rsidRDefault="00FC2FF8" w:rsidP="00BF4C83">
            <w:pPr>
              <w:jc w:val="both"/>
              <w:rPr>
                <w:b/>
              </w:rPr>
            </w:pPr>
            <w:r w:rsidRPr="00C04096">
              <w:t xml:space="preserve"> </w:t>
            </w:r>
            <w:r w:rsidRPr="00C04096">
              <w:rPr>
                <w:b/>
              </w:rPr>
              <w:t>Wymagania dotyczące warunków bezpieczeństwa użytkowania oraz środowiskowych pracy urządzenia;</w:t>
            </w:r>
          </w:p>
          <w:p w14:paraId="019D1549" w14:textId="77777777" w:rsidR="00FC2FF8" w:rsidRPr="00C04096" w:rsidRDefault="00FC2FF8" w:rsidP="00BF4C83">
            <w:pPr>
              <w:pStyle w:val="Akapitzlist"/>
              <w:ind w:left="0"/>
              <w:contextualSpacing/>
              <w:jc w:val="both"/>
            </w:pPr>
            <w:r w:rsidRPr="00C04096">
              <w:t>a) Wymagania bezpieczeństwa - certyfikat zgodności PN-EN 60601.</w:t>
            </w:r>
          </w:p>
        </w:tc>
      </w:tr>
      <w:tr w:rsidR="00FC2FF8" w:rsidRPr="00C04096" w14:paraId="48BAE408" w14:textId="77777777" w:rsidTr="00BF4C83">
        <w:trPr>
          <w:trHeight w:val="277"/>
        </w:trPr>
        <w:tc>
          <w:tcPr>
            <w:tcW w:w="229" w:type="pct"/>
            <w:vMerge/>
          </w:tcPr>
          <w:p w14:paraId="5EB78674" w14:textId="77777777" w:rsidR="00FC2FF8" w:rsidRPr="00C04096" w:rsidRDefault="00FC2FF8" w:rsidP="00BF4C83">
            <w:pPr>
              <w:jc w:val="both"/>
            </w:pPr>
          </w:p>
        </w:tc>
        <w:tc>
          <w:tcPr>
            <w:tcW w:w="4771" w:type="pct"/>
            <w:vAlign w:val="center"/>
          </w:tcPr>
          <w:p w14:paraId="41ADEF1C" w14:textId="77777777" w:rsidR="00FC2FF8" w:rsidRPr="00C04096" w:rsidRDefault="00FC2FF8" w:rsidP="00BF4C83">
            <w:pPr>
              <w:pStyle w:val="Akapitzlist"/>
              <w:ind w:left="0"/>
              <w:contextualSpacing/>
              <w:jc w:val="both"/>
            </w:pPr>
            <w:r w:rsidRPr="00C04096">
              <w:t>b) Stopień ochrony - certyfikat zgodności PN-EN 60529 nie mniej niż klasa IP55.</w:t>
            </w:r>
          </w:p>
        </w:tc>
      </w:tr>
      <w:tr w:rsidR="00FC2FF8" w:rsidRPr="00C04096" w14:paraId="107FEC3F" w14:textId="77777777" w:rsidTr="00BF4C83">
        <w:trPr>
          <w:trHeight w:val="409"/>
        </w:trPr>
        <w:tc>
          <w:tcPr>
            <w:tcW w:w="229" w:type="pct"/>
            <w:vMerge/>
          </w:tcPr>
          <w:p w14:paraId="44CADF19" w14:textId="77777777" w:rsidR="00FC2FF8" w:rsidRPr="00C04096" w:rsidRDefault="00FC2FF8" w:rsidP="00BF4C83">
            <w:pPr>
              <w:jc w:val="both"/>
            </w:pPr>
          </w:p>
        </w:tc>
        <w:tc>
          <w:tcPr>
            <w:tcW w:w="4771" w:type="pct"/>
            <w:vAlign w:val="center"/>
          </w:tcPr>
          <w:p w14:paraId="35DD93E8" w14:textId="77777777" w:rsidR="00FC2FF8" w:rsidRPr="00C04096" w:rsidRDefault="00FC2FF8" w:rsidP="00BF4C83">
            <w:pPr>
              <w:jc w:val="both"/>
            </w:pPr>
            <w:r w:rsidRPr="00C04096">
              <w:t>c) Odporność na uszkodzenia mechaniczne (przy upadku, uderzeniu nie może odłączyć się akumulator ani żaden z elementów urządzenia, musi być zachowana gotowość da pracy).</w:t>
            </w:r>
          </w:p>
        </w:tc>
      </w:tr>
      <w:tr w:rsidR="00FC2FF8" w:rsidRPr="00C04096" w14:paraId="124289E4" w14:textId="77777777" w:rsidTr="00BF4C83">
        <w:trPr>
          <w:trHeight w:val="486"/>
        </w:trPr>
        <w:tc>
          <w:tcPr>
            <w:tcW w:w="229" w:type="pct"/>
            <w:vMerge/>
          </w:tcPr>
          <w:p w14:paraId="1696F2DF" w14:textId="77777777" w:rsidR="00FC2FF8" w:rsidRPr="00C04096" w:rsidRDefault="00FC2FF8" w:rsidP="00BF4C83">
            <w:pPr>
              <w:jc w:val="both"/>
            </w:pPr>
          </w:p>
        </w:tc>
        <w:tc>
          <w:tcPr>
            <w:tcW w:w="4771" w:type="pct"/>
            <w:vAlign w:val="center"/>
          </w:tcPr>
          <w:p w14:paraId="37F02184" w14:textId="63AAC70B" w:rsidR="00FC2FF8" w:rsidRPr="00C04096" w:rsidRDefault="00FC2FF8" w:rsidP="00BF4C83">
            <w:pPr>
              <w:pStyle w:val="Akapitzlist"/>
              <w:ind w:left="0"/>
              <w:contextualSpacing/>
              <w:jc w:val="both"/>
            </w:pPr>
            <w:r w:rsidRPr="00C04096">
              <w:t xml:space="preserve">d) </w:t>
            </w:r>
            <w:r w:rsidR="000C198E" w:rsidRPr="00C04096">
              <w:t xml:space="preserve">Urządzenie przenośne, zainstalowane w </w:t>
            </w:r>
            <w:r w:rsidR="000C198E">
              <w:t>walizce typu PELI</w:t>
            </w:r>
            <w:r w:rsidR="000C198E" w:rsidRPr="00C04096">
              <w:t xml:space="preserve"> w cał</w:t>
            </w:r>
            <w:r w:rsidR="000C198E">
              <w:t>ości ochraniającej defibrylator, nie większej niż 30x25x12 cm.</w:t>
            </w:r>
          </w:p>
        </w:tc>
      </w:tr>
      <w:tr w:rsidR="00FC2FF8" w:rsidRPr="00C04096" w14:paraId="6430E77A" w14:textId="77777777" w:rsidTr="00BF4C83">
        <w:trPr>
          <w:trHeight w:val="276"/>
        </w:trPr>
        <w:tc>
          <w:tcPr>
            <w:tcW w:w="229" w:type="pct"/>
            <w:vMerge/>
          </w:tcPr>
          <w:p w14:paraId="1DB0A781" w14:textId="77777777" w:rsidR="00FC2FF8" w:rsidRPr="00C04096" w:rsidRDefault="00FC2FF8" w:rsidP="00BF4C83">
            <w:pPr>
              <w:jc w:val="both"/>
            </w:pPr>
          </w:p>
        </w:tc>
        <w:tc>
          <w:tcPr>
            <w:tcW w:w="4771" w:type="pct"/>
            <w:vAlign w:val="center"/>
          </w:tcPr>
          <w:p w14:paraId="0AAE84FF" w14:textId="21EED173" w:rsidR="00FC2FF8" w:rsidRPr="00C04096" w:rsidRDefault="00FC2FF8" w:rsidP="00BF4C83">
            <w:pPr>
              <w:pStyle w:val="Akapitzlist"/>
              <w:ind w:left="0"/>
              <w:contextualSpacing/>
              <w:jc w:val="both"/>
            </w:pPr>
            <w:r w:rsidRPr="00C04096">
              <w:t xml:space="preserve">e) </w:t>
            </w:r>
            <w:r w:rsidR="00AF3BE0" w:rsidRPr="00C04096">
              <w:t>Odporność na upadek z 1,2 metra na twardą powierzchnie.</w:t>
            </w:r>
          </w:p>
        </w:tc>
      </w:tr>
      <w:tr w:rsidR="00FC2FF8" w:rsidRPr="00C04096" w14:paraId="5C40787F" w14:textId="77777777" w:rsidTr="00BF4C83">
        <w:trPr>
          <w:trHeight w:val="415"/>
        </w:trPr>
        <w:tc>
          <w:tcPr>
            <w:tcW w:w="229" w:type="pct"/>
            <w:vMerge/>
          </w:tcPr>
          <w:p w14:paraId="432D200B" w14:textId="77777777" w:rsidR="00FC2FF8" w:rsidRPr="00C04096" w:rsidRDefault="00FC2FF8" w:rsidP="00BF4C83">
            <w:pPr>
              <w:jc w:val="both"/>
            </w:pPr>
          </w:p>
        </w:tc>
        <w:tc>
          <w:tcPr>
            <w:tcW w:w="4771" w:type="pct"/>
            <w:vAlign w:val="center"/>
          </w:tcPr>
          <w:p w14:paraId="02D26384" w14:textId="46AB4A4E" w:rsidR="00FC2FF8" w:rsidRPr="00C04096" w:rsidRDefault="004C4F7C" w:rsidP="00BF4C83">
            <w:pPr>
              <w:pStyle w:val="Akapitzlist"/>
              <w:ind w:left="0"/>
              <w:contextualSpacing/>
              <w:jc w:val="both"/>
            </w:pPr>
            <w:r>
              <w:t>f) Temperatura pracy od -20</w:t>
            </w:r>
            <w:r w:rsidR="00F37F17" w:rsidRPr="00C04096">
              <w:t xml:space="preserve"> do 50</w:t>
            </w:r>
            <w:r w:rsidR="00FC2FF8" w:rsidRPr="00C04096">
              <w:t xml:space="preserve"> stopni C</w:t>
            </w:r>
            <w:r w:rsidR="00DD5DF0" w:rsidRPr="00C04096">
              <w:t xml:space="preserve"> i wilgotność względna pracy: 0%-95%.</w:t>
            </w:r>
          </w:p>
        </w:tc>
      </w:tr>
      <w:tr w:rsidR="00FC2FF8" w:rsidRPr="00C04096" w14:paraId="04174079" w14:textId="77777777" w:rsidTr="00BF4C83">
        <w:trPr>
          <w:trHeight w:val="421"/>
        </w:trPr>
        <w:tc>
          <w:tcPr>
            <w:tcW w:w="229" w:type="pct"/>
            <w:vMerge/>
          </w:tcPr>
          <w:p w14:paraId="305B8D29" w14:textId="77777777" w:rsidR="00FC2FF8" w:rsidRPr="00C04096" w:rsidRDefault="00FC2FF8" w:rsidP="00BF4C83">
            <w:pPr>
              <w:jc w:val="both"/>
            </w:pPr>
          </w:p>
        </w:tc>
        <w:tc>
          <w:tcPr>
            <w:tcW w:w="4771" w:type="pct"/>
            <w:vAlign w:val="center"/>
          </w:tcPr>
          <w:p w14:paraId="43433363" w14:textId="28CBE624" w:rsidR="00FC2FF8" w:rsidRPr="00C04096" w:rsidRDefault="00FC2FF8" w:rsidP="00BF4C83">
            <w:pPr>
              <w:pStyle w:val="Akapitzlist"/>
              <w:ind w:left="0"/>
              <w:contextualSpacing/>
              <w:jc w:val="both"/>
            </w:pPr>
            <w:r w:rsidRPr="00C04096">
              <w:t>g) Wbudowany metronom oraz asysta wykonywania RKO – defibrylator podaje sekwencje wykonywania 30 uciśnięć oraz 2 wdechów ratowniczych jednoznacznymi komendami</w:t>
            </w:r>
            <w:r w:rsidR="00E249DF" w:rsidRPr="00C04096">
              <w:t xml:space="preserve"> w języku polskim</w:t>
            </w:r>
            <w:r w:rsidRPr="00C04096">
              <w:t>.</w:t>
            </w:r>
          </w:p>
        </w:tc>
      </w:tr>
      <w:tr w:rsidR="00FC2FF8" w:rsidRPr="00C04096" w14:paraId="0AB0A7C9" w14:textId="77777777" w:rsidTr="00BF4C83">
        <w:trPr>
          <w:trHeight w:val="272"/>
        </w:trPr>
        <w:tc>
          <w:tcPr>
            <w:tcW w:w="229" w:type="pct"/>
          </w:tcPr>
          <w:p w14:paraId="0B111DD4" w14:textId="77777777" w:rsidR="00FC2FF8" w:rsidRPr="00C04096" w:rsidRDefault="00FC2FF8" w:rsidP="00BF4C83">
            <w:pPr>
              <w:jc w:val="both"/>
              <w:rPr>
                <w:b/>
              </w:rPr>
            </w:pPr>
            <w:r w:rsidRPr="00C04096">
              <w:rPr>
                <w:b/>
              </w:rPr>
              <w:t>7</w:t>
            </w:r>
          </w:p>
        </w:tc>
        <w:tc>
          <w:tcPr>
            <w:tcW w:w="4771" w:type="pct"/>
            <w:vAlign w:val="center"/>
          </w:tcPr>
          <w:p w14:paraId="2AB20683" w14:textId="7CA80F6E" w:rsidR="00FC2FF8" w:rsidRPr="00C04096" w:rsidRDefault="00F54275" w:rsidP="00BF4C83">
            <w:pPr>
              <w:jc w:val="both"/>
            </w:pPr>
            <w:r w:rsidRPr="00C04096">
              <w:t xml:space="preserve">Energia impulsu </w:t>
            </w:r>
            <w:proofErr w:type="spellStart"/>
            <w:r w:rsidRPr="00C04096">
              <w:t>defibrylacyjnego</w:t>
            </w:r>
            <w:proofErr w:type="spellEnd"/>
            <w:r w:rsidRPr="00C04096">
              <w:t xml:space="preserve"> dla dorosłych do 200J   </w:t>
            </w:r>
          </w:p>
        </w:tc>
      </w:tr>
      <w:tr w:rsidR="000841FC" w:rsidRPr="00C04096" w14:paraId="1519964A" w14:textId="77777777" w:rsidTr="00BF4C83">
        <w:trPr>
          <w:trHeight w:val="417"/>
        </w:trPr>
        <w:tc>
          <w:tcPr>
            <w:tcW w:w="229" w:type="pct"/>
          </w:tcPr>
          <w:p w14:paraId="3621757B" w14:textId="77777777" w:rsidR="000841FC" w:rsidRPr="00C04096" w:rsidRDefault="000841FC" w:rsidP="00BF4C83">
            <w:pPr>
              <w:jc w:val="both"/>
              <w:rPr>
                <w:b/>
              </w:rPr>
            </w:pPr>
            <w:r w:rsidRPr="00C04096">
              <w:rPr>
                <w:b/>
              </w:rPr>
              <w:t>8</w:t>
            </w:r>
          </w:p>
        </w:tc>
        <w:tc>
          <w:tcPr>
            <w:tcW w:w="4771" w:type="pct"/>
            <w:vAlign w:val="center"/>
          </w:tcPr>
          <w:p w14:paraId="3CA4B0A6" w14:textId="4392E53D" w:rsidR="000841FC" w:rsidRPr="00C04096" w:rsidRDefault="000841FC" w:rsidP="00BF4C83">
            <w:pPr>
              <w:pStyle w:val="Akapitzlist"/>
              <w:ind w:left="0"/>
              <w:contextualSpacing/>
              <w:jc w:val="both"/>
            </w:pPr>
            <w:r w:rsidRPr="00C04096">
              <w:t>Ciężar defibrylatora z bat</w:t>
            </w:r>
            <w:r w:rsidR="000C198E">
              <w:t>erią i jedną parą elektrod max 1,8</w:t>
            </w:r>
            <w:r w:rsidRPr="00C04096">
              <w:t xml:space="preserve"> kg.</w:t>
            </w:r>
          </w:p>
        </w:tc>
      </w:tr>
      <w:tr w:rsidR="00C04096" w:rsidRPr="00C04096" w14:paraId="4C42497A" w14:textId="77777777" w:rsidTr="00BF4C83">
        <w:trPr>
          <w:trHeight w:val="417"/>
        </w:trPr>
        <w:tc>
          <w:tcPr>
            <w:tcW w:w="229" w:type="pct"/>
          </w:tcPr>
          <w:p w14:paraId="2834996C" w14:textId="1864B0A8" w:rsidR="00C04096" w:rsidRPr="00C04096" w:rsidRDefault="00C04096" w:rsidP="00BF4C83">
            <w:pPr>
              <w:jc w:val="both"/>
              <w:rPr>
                <w:b/>
              </w:rPr>
            </w:pPr>
            <w:r w:rsidRPr="00C04096">
              <w:rPr>
                <w:b/>
              </w:rPr>
              <w:t>9</w:t>
            </w:r>
          </w:p>
        </w:tc>
        <w:tc>
          <w:tcPr>
            <w:tcW w:w="4771" w:type="pct"/>
            <w:vAlign w:val="center"/>
          </w:tcPr>
          <w:p w14:paraId="04EE7D1C" w14:textId="778A1EA3" w:rsidR="00C04096" w:rsidRPr="00C04096" w:rsidRDefault="00C04096" w:rsidP="00BF4C83">
            <w:pPr>
              <w:pStyle w:val="Akapitzlist"/>
              <w:ind w:left="0"/>
              <w:contextualSpacing/>
              <w:jc w:val="both"/>
            </w:pPr>
            <w:r>
              <w:t>D</w:t>
            </w:r>
            <w:r w:rsidRPr="00C04096">
              <w:t>efibrylator posiada kompatybilne elektrody (</w:t>
            </w:r>
            <w:r>
              <w:t xml:space="preserve">m.in. </w:t>
            </w:r>
            <w:r w:rsidRPr="00C04096">
              <w:t>przy pomocy adapterów) z więcej niż jednym modelem defibrylatora manualnego używanego przez Zespoły Ratownictwa Medycznego.</w:t>
            </w:r>
          </w:p>
        </w:tc>
      </w:tr>
      <w:tr w:rsidR="00C04096" w:rsidRPr="00C04096" w14:paraId="5B1A7097" w14:textId="77777777" w:rsidTr="00BF4C83">
        <w:trPr>
          <w:trHeight w:val="455"/>
        </w:trPr>
        <w:tc>
          <w:tcPr>
            <w:tcW w:w="229" w:type="pct"/>
          </w:tcPr>
          <w:p w14:paraId="11A76163" w14:textId="69D9EA94" w:rsidR="00C04096" w:rsidRPr="00C04096" w:rsidRDefault="00C04096" w:rsidP="00BF4C83">
            <w:pPr>
              <w:jc w:val="both"/>
              <w:rPr>
                <w:b/>
              </w:rPr>
            </w:pPr>
            <w:r w:rsidRPr="00C04096">
              <w:rPr>
                <w:b/>
              </w:rPr>
              <w:t>10</w:t>
            </w:r>
          </w:p>
        </w:tc>
        <w:tc>
          <w:tcPr>
            <w:tcW w:w="4771" w:type="pct"/>
            <w:vAlign w:val="center"/>
          </w:tcPr>
          <w:p w14:paraId="5D4FD7E6" w14:textId="1DB37FBC" w:rsidR="00C04096" w:rsidRPr="00C04096" w:rsidRDefault="002927D9" w:rsidP="00BF4C83">
            <w:pPr>
              <w:jc w:val="both"/>
            </w:pPr>
            <w:r w:rsidRPr="00A44FB5">
              <w:rPr>
                <w:rFonts w:ascii="Cambria" w:hAnsi="Cambria" w:cs="Arial"/>
              </w:rPr>
              <w:t>Możliwość przełączenia urządzenia terapeutycznego w tryb szkoleniowy bez konieczności zakupu dodatkowego urządzenia treningowego</w:t>
            </w:r>
            <w:r>
              <w:rPr>
                <w:rFonts w:ascii="Cambria" w:hAnsi="Cambria" w:cs="Arial"/>
              </w:rPr>
              <w:t>. W zestawie zestaw szkoleniowy.</w:t>
            </w:r>
          </w:p>
        </w:tc>
      </w:tr>
      <w:tr w:rsidR="002927D9" w:rsidRPr="00C04096" w14:paraId="40ABC5D9" w14:textId="77777777" w:rsidTr="00BF4C83">
        <w:trPr>
          <w:trHeight w:val="455"/>
        </w:trPr>
        <w:tc>
          <w:tcPr>
            <w:tcW w:w="229" w:type="pct"/>
          </w:tcPr>
          <w:p w14:paraId="37414632" w14:textId="01C597A1" w:rsidR="002927D9" w:rsidRPr="00C04096" w:rsidRDefault="002927D9" w:rsidP="00BF4C83">
            <w:pPr>
              <w:jc w:val="both"/>
              <w:rPr>
                <w:b/>
              </w:rPr>
            </w:pPr>
            <w:r w:rsidRPr="00C04096">
              <w:rPr>
                <w:b/>
              </w:rPr>
              <w:t>11</w:t>
            </w:r>
          </w:p>
        </w:tc>
        <w:tc>
          <w:tcPr>
            <w:tcW w:w="4771" w:type="pct"/>
            <w:vAlign w:val="center"/>
          </w:tcPr>
          <w:p w14:paraId="5E2EB392" w14:textId="0C76F12B" w:rsidR="00EA7E84" w:rsidRPr="00C04096" w:rsidRDefault="002927D9" w:rsidP="00BF4C83">
            <w:pPr>
              <w:jc w:val="both"/>
            </w:pPr>
            <w:r w:rsidRPr="00C04096">
              <w:t>Dokumentacja techniczna, certyfikaty zgodności w języku polskim oraz deklaracja zgodności CE.</w:t>
            </w:r>
          </w:p>
        </w:tc>
      </w:tr>
      <w:tr w:rsidR="002927D9" w:rsidRPr="00C04096" w14:paraId="0E50CCEE" w14:textId="77777777" w:rsidTr="00BF4C83">
        <w:trPr>
          <w:trHeight w:val="419"/>
        </w:trPr>
        <w:tc>
          <w:tcPr>
            <w:tcW w:w="229" w:type="pct"/>
          </w:tcPr>
          <w:p w14:paraId="205E2920" w14:textId="1456B064" w:rsidR="002927D9" w:rsidRPr="00C04096" w:rsidRDefault="002927D9" w:rsidP="00BF4C83">
            <w:pPr>
              <w:jc w:val="both"/>
              <w:rPr>
                <w:b/>
              </w:rPr>
            </w:pPr>
            <w:r w:rsidRPr="00C04096">
              <w:rPr>
                <w:b/>
              </w:rPr>
              <w:t>12</w:t>
            </w:r>
          </w:p>
        </w:tc>
        <w:tc>
          <w:tcPr>
            <w:tcW w:w="4771" w:type="pct"/>
            <w:vAlign w:val="center"/>
          </w:tcPr>
          <w:p w14:paraId="4E2D629D" w14:textId="77777777" w:rsidR="00BB6DAA" w:rsidRDefault="002927D9" w:rsidP="00BB6DAA">
            <w:pPr>
              <w:pStyle w:val="Akapitzlist"/>
              <w:ind w:left="0"/>
              <w:contextualSpacing/>
              <w:jc w:val="both"/>
            </w:pPr>
            <w:r w:rsidRPr="00C04096">
              <w:t xml:space="preserve">Gwarancja bezwzględna na urządzenie AED: min. </w:t>
            </w:r>
            <w:r>
              <w:t>8</w:t>
            </w:r>
            <w:r w:rsidRPr="00C04096">
              <w:t> lat. W tym okresie dostawca sprzętu ponosi wszystkie koszty wymaganych serwisów gwarancyjny</w:t>
            </w:r>
            <w:r>
              <w:t>ch i przeglądów okresowych bez</w:t>
            </w:r>
            <w:r w:rsidRPr="00C04096">
              <w:t xml:space="preserve"> kosztów wymiany elektrod i baterii.</w:t>
            </w:r>
          </w:p>
          <w:p w14:paraId="446E0E68" w14:textId="38520E3E" w:rsidR="00BB6DAA" w:rsidRPr="00BB6DAA" w:rsidRDefault="00BB6DAA" w:rsidP="00BB6DAA">
            <w:pPr>
              <w:pStyle w:val="Akapitzlist"/>
              <w:ind w:left="0"/>
              <w:contextualSpacing/>
              <w:jc w:val="both"/>
              <w:rPr>
                <w:b/>
              </w:rPr>
            </w:pPr>
            <w:r w:rsidRPr="00BB6DAA">
              <w:rPr>
                <w:b/>
              </w:rPr>
              <w:t xml:space="preserve">Termin dostawy </w:t>
            </w:r>
            <w:r>
              <w:rPr>
                <w:b/>
              </w:rPr>
              <w:t xml:space="preserve">- </w:t>
            </w:r>
            <w:r w:rsidRPr="00BB6DAA">
              <w:rPr>
                <w:b/>
              </w:rPr>
              <w:t xml:space="preserve">14 dni od </w:t>
            </w:r>
            <w:r>
              <w:rPr>
                <w:b/>
              </w:rPr>
              <w:t xml:space="preserve">daty </w:t>
            </w:r>
            <w:bookmarkStart w:id="0" w:name="_GoBack"/>
            <w:bookmarkEnd w:id="0"/>
            <w:r w:rsidRPr="00BB6DAA">
              <w:rPr>
                <w:b/>
              </w:rPr>
              <w:t xml:space="preserve">złożenia zamówienia </w:t>
            </w:r>
          </w:p>
          <w:p w14:paraId="575C630D" w14:textId="01C7B036" w:rsidR="00BB6DAA" w:rsidRPr="00C04096" w:rsidRDefault="00BB6DAA" w:rsidP="00BB6DAA">
            <w:pPr>
              <w:pStyle w:val="Akapitzlist"/>
              <w:ind w:left="0" w:hanging="370"/>
              <w:contextualSpacing/>
              <w:jc w:val="both"/>
            </w:pPr>
            <w:r>
              <w:t>13</w:t>
            </w:r>
          </w:p>
        </w:tc>
      </w:tr>
      <w:tr w:rsidR="00EA7E84" w:rsidRPr="00C04096" w14:paraId="725E106F" w14:textId="77777777" w:rsidTr="00BF4C83">
        <w:trPr>
          <w:trHeight w:val="419"/>
        </w:trPr>
        <w:tc>
          <w:tcPr>
            <w:tcW w:w="229" w:type="pct"/>
          </w:tcPr>
          <w:p w14:paraId="14A0F65B" w14:textId="114FEDB6" w:rsidR="00EA7E84" w:rsidRPr="00C04096" w:rsidRDefault="00EA7E84" w:rsidP="00BF4C83">
            <w:pPr>
              <w:jc w:val="both"/>
              <w:rPr>
                <w:b/>
              </w:rPr>
            </w:pPr>
          </w:p>
        </w:tc>
        <w:tc>
          <w:tcPr>
            <w:tcW w:w="4771" w:type="pct"/>
            <w:vAlign w:val="center"/>
          </w:tcPr>
          <w:p w14:paraId="7E17CE9B" w14:textId="2C6DF4AA" w:rsidR="00EA7E84" w:rsidRPr="00C04096" w:rsidRDefault="00EA7E84" w:rsidP="00BF4C83">
            <w:pPr>
              <w:pStyle w:val="Akapitzlist"/>
              <w:ind w:left="0"/>
              <w:contextualSpacing/>
              <w:jc w:val="both"/>
            </w:pPr>
          </w:p>
        </w:tc>
      </w:tr>
    </w:tbl>
    <w:p w14:paraId="7D23761A" w14:textId="6500F846" w:rsidR="004A20BB" w:rsidRPr="00C04096" w:rsidRDefault="004A20BB" w:rsidP="00BF4C83">
      <w:pPr>
        <w:jc w:val="both"/>
        <w:rPr>
          <w:rFonts w:eastAsiaTheme="minorEastAsia"/>
          <w:lang w:val="cs-CZ"/>
        </w:rPr>
      </w:pPr>
    </w:p>
    <w:sectPr w:rsidR="004A20BB" w:rsidRPr="00C04096" w:rsidSect="00BA2E48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11B87" w14:textId="77777777" w:rsidR="0080727C" w:rsidRDefault="0080727C" w:rsidP="00730E76">
      <w:r>
        <w:separator/>
      </w:r>
    </w:p>
  </w:endnote>
  <w:endnote w:type="continuationSeparator" w:id="0">
    <w:p w14:paraId="29AAC655" w14:textId="77777777" w:rsidR="0080727C" w:rsidRDefault="0080727C" w:rsidP="0073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066B9" w14:textId="77777777" w:rsidR="0080727C" w:rsidRDefault="0080727C" w:rsidP="00730E76">
      <w:r>
        <w:separator/>
      </w:r>
    </w:p>
  </w:footnote>
  <w:footnote w:type="continuationSeparator" w:id="0">
    <w:p w14:paraId="515B32D4" w14:textId="77777777" w:rsidR="0080727C" w:rsidRDefault="0080727C" w:rsidP="00730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21609" w14:textId="1308A11F" w:rsidR="00730E76" w:rsidRDefault="00730E76">
    <w:pPr>
      <w:pStyle w:val="Nagwek"/>
    </w:pPr>
    <w:r>
      <w:t>Załącznik nr 1 – Opis przedmiotu zamówienia                                                                                      ZP/533/2019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7799"/>
        </w:tabs>
        <w:ind w:left="7799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799"/>
        </w:tabs>
        <w:ind w:left="7799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799"/>
        </w:tabs>
        <w:ind w:left="7799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799"/>
        </w:tabs>
        <w:ind w:left="7799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799"/>
        </w:tabs>
        <w:ind w:left="7799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799"/>
        </w:tabs>
        <w:ind w:left="7799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799"/>
        </w:tabs>
        <w:ind w:left="7799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799"/>
        </w:tabs>
        <w:ind w:left="7799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799"/>
        </w:tabs>
        <w:ind w:left="7799" w:firstLine="0"/>
      </w:pPr>
    </w:lvl>
  </w:abstractNum>
  <w:abstractNum w:abstractNumId="1">
    <w:nsid w:val="3F4D3F47"/>
    <w:multiLevelType w:val="hybridMultilevel"/>
    <w:tmpl w:val="8B388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F8"/>
    <w:rsid w:val="000841FC"/>
    <w:rsid w:val="000C198E"/>
    <w:rsid w:val="0018431A"/>
    <w:rsid w:val="002253BD"/>
    <w:rsid w:val="00273F14"/>
    <w:rsid w:val="002927D9"/>
    <w:rsid w:val="00297A35"/>
    <w:rsid w:val="004A20BB"/>
    <w:rsid w:val="004C4F7C"/>
    <w:rsid w:val="00557C71"/>
    <w:rsid w:val="006806BE"/>
    <w:rsid w:val="00730E76"/>
    <w:rsid w:val="007B6D97"/>
    <w:rsid w:val="0080727C"/>
    <w:rsid w:val="00A44FB5"/>
    <w:rsid w:val="00A549C4"/>
    <w:rsid w:val="00AF3BE0"/>
    <w:rsid w:val="00BA2E48"/>
    <w:rsid w:val="00BB6DAA"/>
    <w:rsid w:val="00BF4C83"/>
    <w:rsid w:val="00BF53EB"/>
    <w:rsid w:val="00C04096"/>
    <w:rsid w:val="00D64001"/>
    <w:rsid w:val="00DD5DF0"/>
    <w:rsid w:val="00E249DF"/>
    <w:rsid w:val="00E576E9"/>
    <w:rsid w:val="00E93A75"/>
    <w:rsid w:val="00EA7E84"/>
    <w:rsid w:val="00ED7472"/>
    <w:rsid w:val="00F37F17"/>
    <w:rsid w:val="00F54275"/>
    <w:rsid w:val="00F720DC"/>
    <w:rsid w:val="00F767F0"/>
    <w:rsid w:val="00FC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4F4E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FF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F54275"/>
    <w:pPr>
      <w:keepNext/>
      <w:numPr>
        <w:ilvl w:val="1"/>
        <w:numId w:val="2"/>
      </w:numPr>
      <w:suppressAutoHyphens/>
      <w:overflowPunct/>
      <w:autoSpaceDE/>
      <w:autoSpaceDN/>
      <w:adjustRightInd/>
      <w:spacing w:line="360" w:lineRule="auto"/>
      <w:ind w:left="0"/>
      <w:jc w:val="center"/>
      <w:textAlignment w:val="auto"/>
      <w:outlineLvl w:val="1"/>
    </w:pPr>
    <w:rPr>
      <w:rFonts w:ascii="Arial" w:hAnsi="Arial"/>
      <w:b/>
      <w:i/>
      <w:sz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C2FF8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FC2FF8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Nagwek2Znak">
    <w:name w:val="Nagłówek 2 Znak"/>
    <w:basedOn w:val="Domylnaczcionkaakapitu"/>
    <w:link w:val="Nagwek2"/>
    <w:rsid w:val="00F54275"/>
    <w:rPr>
      <w:rFonts w:ascii="Arial" w:eastAsia="Times New Roman" w:hAnsi="Arial" w:cs="Times New Roman"/>
      <w:b/>
      <w:i/>
      <w:szCs w:val="20"/>
      <w:lang w:val="pl-PL" w:eastAsia="ar-SA"/>
    </w:rPr>
  </w:style>
  <w:style w:type="character" w:customStyle="1" w:styleId="xm-951572754015748967gmail-m3314289256957016875gmail-m-8559468789503958610gmail-im">
    <w:name w:val="x_m_-951572754015748967gmail-m_3314289256957016875gmail-m_-8559468789503958610gmail-im"/>
    <w:basedOn w:val="Domylnaczcionkaakapitu"/>
    <w:rsid w:val="004A20BB"/>
  </w:style>
  <w:style w:type="character" w:customStyle="1" w:styleId="apple-converted-space">
    <w:name w:val="apple-converted-space"/>
    <w:basedOn w:val="Domylnaczcionkaakapitu"/>
    <w:rsid w:val="004A20BB"/>
  </w:style>
  <w:style w:type="character" w:customStyle="1" w:styleId="currenthithighlight">
    <w:name w:val="currenthithighlight"/>
    <w:basedOn w:val="Domylnaczcionkaakapitu"/>
    <w:rsid w:val="004A20BB"/>
  </w:style>
  <w:style w:type="paragraph" w:styleId="Nagwek">
    <w:name w:val="header"/>
    <w:basedOn w:val="Normalny"/>
    <w:link w:val="NagwekZnak"/>
    <w:uiPriority w:val="99"/>
    <w:unhideWhenUsed/>
    <w:rsid w:val="00730E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0E76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30E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0E76"/>
    <w:rPr>
      <w:rFonts w:ascii="Times New Roman" w:eastAsia="Times New Roman" w:hAnsi="Times New Roman" w:cs="Times New Roman"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FF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F54275"/>
    <w:pPr>
      <w:keepNext/>
      <w:numPr>
        <w:ilvl w:val="1"/>
        <w:numId w:val="2"/>
      </w:numPr>
      <w:suppressAutoHyphens/>
      <w:overflowPunct/>
      <w:autoSpaceDE/>
      <w:autoSpaceDN/>
      <w:adjustRightInd/>
      <w:spacing w:line="360" w:lineRule="auto"/>
      <w:ind w:left="0"/>
      <w:jc w:val="center"/>
      <w:textAlignment w:val="auto"/>
      <w:outlineLvl w:val="1"/>
    </w:pPr>
    <w:rPr>
      <w:rFonts w:ascii="Arial" w:hAnsi="Arial"/>
      <w:b/>
      <w:i/>
      <w:sz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C2FF8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FC2FF8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Nagwek2Znak">
    <w:name w:val="Nagłówek 2 Znak"/>
    <w:basedOn w:val="Domylnaczcionkaakapitu"/>
    <w:link w:val="Nagwek2"/>
    <w:rsid w:val="00F54275"/>
    <w:rPr>
      <w:rFonts w:ascii="Arial" w:eastAsia="Times New Roman" w:hAnsi="Arial" w:cs="Times New Roman"/>
      <w:b/>
      <w:i/>
      <w:szCs w:val="20"/>
      <w:lang w:val="pl-PL" w:eastAsia="ar-SA"/>
    </w:rPr>
  </w:style>
  <w:style w:type="character" w:customStyle="1" w:styleId="xm-951572754015748967gmail-m3314289256957016875gmail-m-8559468789503958610gmail-im">
    <w:name w:val="x_m_-951572754015748967gmail-m_3314289256957016875gmail-m_-8559468789503958610gmail-im"/>
    <w:basedOn w:val="Domylnaczcionkaakapitu"/>
    <w:rsid w:val="004A20BB"/>
  </w:style>
  <w:style w:type="character" w:customStyle="1" w:styleId="apple-converted-space">
    <w:name w:val="apple-converted-space"/>
    <w:basedOn w:val="Domylnaczcionkaakapitu"/>
    <w:rsid w:val="004A20BB"/>
  </w:style>
  <w:style w:type="character" w:customStyle="1" w:styleId="currenthithighlight">
    <w:name w:val="currenthithighlight"/>
    <w:basedOn w:val="Domylnaczcionkaakapitu"/>
    <w:rsid w:val="004A20BB"/>
  </w:style>
  <w:style w:type="paragraph" w:styleId="Nagwek">
    <w:name w:val="header"/>
    <w:basedOn w:val="Normalny"/>
    <w:link w:val="NagwekZnak"/>
    <w:uiPriority w:val="99"/>
    <w:unhideWhenUsed/>
    <w:rsid w:val="00730E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0E76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30E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0E76"/>
    <w:rPr>
      <w:rFonts w:ascii="Times New Roman" w:eastAsia="Times New Roman" w:hAnsi="Times New Roman" w:cs="Times New Roman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Max Harter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Dokurno</dc:creator>
  <cp:lastModifiedBy>Ewa Miodek</cp:lastModifiedBy>
  <cp:revision>6</cp:revision>
  <cp:lastPrinted>2017-05-09T13:05:00Z</cp:lastPrinted>
  <dcterms:created xsi:type="dcterms:W3CDTF">2019-07-16T06:22:00Z</dcterms:created>
  <dcterms:modified xsi:type="dcterms:W3CDTF">2019-07-16T08:08:00Z</dcterms:modified>
</cp:coreProperties>
</file>