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7F8236B7" w:rsidR="00955E65" w:rsidRPr="00A81FA4" w:rsidRDefault="00955E65" w:rsidP="00A81FA4">
      <w:pPr>
        <w:spacing w:line="240" w:lineRule="auto"/>
        <w:jc w:val="right"/>
        <w:rPr>
          <w:rFonts w:cstheme="minorHAnsi"/>
          <w:b/>
          <w:bCs/>
        </w:rPr>
      </w:pPr>
      <w:r w:rsidRPr="00A81FA4">
        <w:rPr>
          <w:rFonts w:cstheme="minorHAnsi"/>
          <w:b/>
          <w:bCs/>
        </w:rPr>
        <w:t>Załącznik nr 3</w:t>
      </w:r>
      <w:r w:rsidR="005167E7">
        <w:rPr>
          <w:rFonts w:cstheme="minorHAnsi"/>
          <w:b/>
          <w:bCs/>
        </w:rPr>
        <w:t>.6</w:t>
      </w:r>
      <w:r w:rsidRPr="00A81FA4">
        <w:rPr>
          <w:rFonts w:cstheme="minorHAnsi"/>
          <w:b/>
          <w:bCs/>
        </w:rPr>
        <w:t xml:space="preserve"> do SWZ</w:t>
      </w:r>
    </w:p>
    <w:p w14:paraId="2006EF2A" w14:textId="77777777" w:rsidR="00955E65" w:rsidRPr="00A81FA4" w:rsidRDefault="00955E65" w:rsidP="00A81FA4">
      <w:pPr>
        <w:spacing w:line="240" w:lineRule="auto"/>
        <w:jc w:val="both"/>
        <w:rPr>
          <w:rFonts w:cstheme="minorHAnsi"/>
          <w:sz w:val="28"/>
        </w:rPr>
      </w:pPr>
      <w:r w:rsidRPr="00A81FA4">
        <w:rPr>
          <w:rFonts w:cstheme="minorHAnsi"/>
          <w:b/>
          <w:bCs/>
        </w:rPr>
        <w:t xml:space="preserve">Opis przedmiotu zamówienia – </w:t>
      </w:r>
      <w:r w:rsidRPr="00A81FA4">
        <w:rPr>
          <w:rFonts w:cstheme="minorHAnsi"/>
          <w:b/>
        </w:rPr>
        <w:t>Dostawa sprzętu i oprogramowania serwerowego wraz z montażem i uruchomieniem na potrzeby projektu „Serwer plików”</w:t>
      </w:r>
      <w:r w:rsidRPr="00A81FA4">
        <w:rPr>
          <w:rFonts w:cstheme="minorHAnsi"/>
          <w:b/>
          <w:bCs/>
        </w:rPr>
        <w:t xml:space="preserve"> zgodnie z następującymi minimalnymi parametrami technicznymi:</w:t>
      </w:r>
    </w:p>
    <w:p w14:paraId="52E00D56" w14:textId="1E749807" w:rsidR="009F0B0F" w:rsidRPr="00A81FA4" w:rsidRDefault="009F0B0F" w:rsidP="00A81FA4">
      <w:pPr>
        <w:spacing w:after="0" w:line="240" w:lineRule="auto"/>
        <w:jc w:val="both"/>
        <w:rPr>
          <w:rFonts w:cstheme="minorHAnsi"/>
          <w:b/>
          <w:bCs/>
        </w:rPr>
      </w:pPr>
      <w:r w:rsidRPr="00A81FA4">
        <w:rPr>
          <w:rFonts w:cstheme="minorHAnsi"/>
          <w:b/>
          <w:bCs/>
        </w:rPr>
        <w:t xml:space="preserve">Część </w:t>
      </w:r>
      <w:r w:rsidR="00DE3145" w:rsidRPr="00A81FA4">
        <w:rPr>
          <w:rFonts w:cstheme="minorHAnsi"/>
          <w:b/>
          <w:bCs/>
        </w:rPr>
        <w:t>6</w:t>
      </w:r>
      <w:r w:rsidRPr="00A81FA4">
        <w:rPr>
          <w:rFonts w:cstheme="minorHAnsi"/>
          <w:b/>
          <w:bCs/>
        </w:rPr>
        <w:t xml:space="preserve">: </w:t>
      </w:r>
      <w:r w:rsidR="00DE3145" w:rsidRPr="00A81FA4">
        <w:rPr>
          <w:rFonts w:cstheme="minorHAnsi"/>
          <w:b/>
          <w:bCs/>
        </w:rPr>
        <w:t xml:space="preserve">UTM (router/firewall/IPS/VPN </w:t>
      </w:r>
      <w:proofErr w:type="spellStart"/>
      <w:r w:rsidR="00DE3145" w:rsidRPr="00A81FA4">
        <w:rPr>
          <w:rFonts w:cstheme="minorHAnsi"/>
          <w:b/>
          <w:bCs/>
        </w:rPr>
        <w:t>gateway</w:t>
      </w:r>
      <w:proofErr w:type="spellEnd"/>
      <w:r w:rsidR="00DE3145" w:rsidRPr="00A81FA4">
        <w:rPr>
          <w:rFonts w:cstheme="minorHAnsi"/>
          <w:b/>
          <w:bCs/>
        </w:rPr>
        <w:t xml:space="preserve">) – wymiana sprzętu Zamawiającego w ramach programu </w:t>
      </w:r>
      <w:proofErr w:type="spellStart"/>
      <w:r w:rsidR="00DE3145" w:rsidRPr="00A81FA4">
        <w:rPr>
          <w:rFonts w:cstheme="minorHAnsi"/>
          <w:b/>
          <w:bCs/>
        </w:rPr>
        <w:t>Sonicwall</w:t>
      </w:r>
      <w:proofErr w:type="spellEnd"/>
      <w:r w:rsidR="00DE3145" w:rsidRPr="00A81FA4">
        <w:rPr>
          <w:rFonts w:cstheme="minorHAnsi"/>
          <w:b/>
          <w:bCs/>
        </w:rPr>
        <w:t xml:space="preserve"> </w:t>
      </w:r>
      <w:proofErr w:type="spellStart"/>
      <w:r w:rsidR="00DE3145" w:rsidRPr="00A81FA4">
        <w:rPr>
          <w:rFonts w:cstheme="minorHAnsi"/>
          <w:b/>
          <w:bCs/>
        </w:rPr>
        <w:t>Secure</w:t>
      </w:r>
      <w:proofErr w:type="spellEnd"/>
      <w:r w:rsidR="00DE3145" w:rsidRPr="00A81FA4">
        <w:rPr>
          <w:rFonts w:cstheme="minorHAnsi"/>
          <w:b/>
          <w:bCs/>
        </w:rPr>
        <w:t xml:space="preserve"> Upgrade </w:t>
      </w:r>
      <w:r w:rsidRPr="00A81FA4">
        <w:rPr>
          <w:rFonts w:cstheme="minorHAnsi"/>
          <w:b/>
          <w:bCs/>
        </w:rPr>
        <w:t xml:space="preserve">– </w:t>
      </w:r>
      <w:r w:rsidR="00BB5116" w:rsidRPr="00A81FA4">
        <w:rPr>
          <w:rFonts w:cstheme="minorHAnsi"/>
          <w:b/>
          <w:bCs/>
        </w:rPr>
        <w:t>1</w:t>
      </w:r>
      <w:r w:rsidRPr="00A81FA4">
        <w:rPr>
          <w:rFonts w:cstheme="minorHAnsi"/>
          <w:b/>
          <w:bCs/>
        </w:rPr>
        <w:t xml:space="preserve"> sztuk</w:t>
      </w:r>
      <w:r w:rsidR="00BB5116" w:rsidRPr="00A81FA4">
        <w:rPr>
          <w:rFonts w:cstheme="minorHAnsi"/>
          <w:b/>
          <w:bCs/>
        </w:rPr>
        <w:t>a</w:t>
      </w:r>
      <w:r w:rsidRPr="00A81FA4">
        <w:rPr>
          <w:rFonts w:cstheme="minorHAnsi"/>
          <w:b/>
          <w:bCs/>
        </w:rPr>
        <w:t xml:space="preserve"> </w:t>
      </w:r>
    </w:p>
    <w:p w14:paraId="56CE1E07" w14:textId="77777777" w:rsidR="00CD342A" w:rsidRPr="00A81FA4" w:rsidRDefault="00CD342A" w:rsidP="00A81FA4">
      <w:pPr>
        <w:spacing w:after="0" w:line="240" w:lineRule="auto"/>
        <w:rPr>
          <w:rFonts w:cstheme="minorHAnsi"/>
          <w:b/>
          <w:u w:val="single"/>
        </w:rPr>
      </w:pPr>
    </w:p>
    <w:p w14:paraId="77816CB0" w14:textId="77777777" w:rsidR="009F0B0F" w:rsidRPr="00A81FA4" w:rsidRDefault="009F0B0F" w:rsidP="00A81FA4">
      <w:pPr>
        <w:spacing w:after="0" w:line="240" w:lineRule="auto"/>
        <w:rPr>
          <w:rFonts w:cstheme="minorHAnsi"/>
          <w:b/>
          <w:u w:val="single"/>
        </w:rPr>
      </w:pPr>
      <w:r w:rsidRPr="00A81FA4">
        <w:rPr>
          <w:rFonts w:cstheme="minorHAnsi"/>
          <w:b/>
          <w:u w:val="single"/>
        </w:rPr>
        <w:t>Oferuję (należy podać dla każdego oferowanego sprzętu z poniższych pozycji):</w:t>
      </w:r>
    </w:p>
    <w:p w14:paraId="3B33A608" w14:textId="5D2EE00E" w:rsidR="009F0B0F" w:rsidRPr="00A81FA4" w:rsidRDefault="009F0B0F" w:rsidP="00A81FA4">
      <w:pPr>
        <w:spacing w:after="0" w:line="240" w:lineRule="auto"/>
        <w:rPr>
          <w:rFonts w:cstheme="minorHAnsi"/>
        </w:rPr>
      </w:pPr>
      <w:r w:rsidRPr="00A81FA4">
        <w:rPr>
          <w:rFonts w:cstheme="minorHAnsi"/>
        </w:rPr>
        <w:t>Model/typ</w:t>
      </w:r>
      <w:r w:rsidR="00CD342A" w:rsidRPr="00A81FA4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A81FA4" w:rsidRDefault="009F0B0F" w:rsidP="00A81FA4">
      <w:pPr>
        <w:spacing w:after="0" w:line="240" w:lineRule="auto"/>
        <w:rPr>
          <w:rFonts w:cstheme="minorHAnsi"/>
        </w:rPr>
      </w:pPr>
      <w:r w:rsidRPr="00A81FA4">
        <w:rPr>
          <w:rFonts w:cstheme="minorHAnsi"/>
        </w:rPr>
        <w:t>Producent/kraj</w:t>
      </w:r>
      <w:r w:rsidRPr="00A81FA4">
        <w:rPr>
          <w:rFonts w:cstheme="minorHAnsi"/>
        </w:rPr>
        <w:tab/>
      </w:r>
      <w:r w:rsidR="00CD342A" w:rsidRPr="00A81FA4">
        <w:rPr>
          <w:rFonts w:cstheme="minorHAnsi"/>
        </w:rPr>
        <w:t>………………………………………………</w:t>
      </w:r>
    </w:p>
    <w:p w14:paraId="7ACE3293" w14:textId="555728F9" w:rsidR="009F0B0F" w:rsidRPr="00A81FA4" w:rsidRDefault="009F0B0F" w:rsidP="00A81FA4">
      <w:pPr>
        <w:spacing w:after="0" w:line="240" w:lineRule="auto"/>
        <w:rPr>
          <w:rFonts w:cstheme="minorHAnsi"/>
        </w:rPr>
      </w:pPr>
      <w:r w:rsidRPr="00A81FA4">
        <w:rPr>
          <w:rFonts w:cstheme="minorHAnsi"/>
        </w:rPr>
        <w:t>Rok produkcji (nie wcześniej niż 2023) ………………………………………………</w:t>
      </w:r>
    </w:p>
    <w:p w14:paraId="4511DC00" w14:textId="012752F2" w:rsidR="00BF364B" w:rsidRPr="00A81FA4" w:rsidRDefault="00BF364B" w:rsidP="00A81FA4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A81FA4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A81FA4" w:rsidRDefault="00DE3145" w:rsidP="00A81FA4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81FA4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A81FA4" w:rsidRDefault="00DE3145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81FA4">
              <w:rPr>
                <w:rFonts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A81FA4" w:rsidRDefault="00DE3145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1FA4">
              <w:rPr>
                <w:rFonts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A81FA4" w:rsidRDefault="00DE3145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81FA4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DE3145" w:rsidRPr="00A81FA4" w14:paraId="4D117CA3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DE3145" w:rsidRPr="00A81FA4" w:rsidRDefault="00DE3145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E178127" w:rsidR="00DE3145" w:rsidRPr="00A81FA4" w:rsidRDefault="00DE3145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szCs w:val="20"/>
              </w:rPr>
              <w:t>Kompatybilność – 100% zgodność z systemem centralnego zarządzania urządzeniami UTM posiadanymi przez zamawiającego: Dell-</w:t>
            </w:r>
            <w:proofErr w:type="spellStart"/>
            <w:r w:rsidRPr="00A81FA4">
              <w:rPr>
                <w:rFonts w:cstheme="minorHAnsi"/>
                <w:sz w:val="20"/>
                <w:szCs w:val="20"/>
              </w:rPr>
              <w:t>Sonicwall</w:t>
            </w:r>
            <w:proofErr w:type="spellEnd"/>
            <w:r w:rsidRPr="00A81FA4">
              <w:rPr>
                <w:rFonts w:cstheme="minorHAnsi"/>
                <w:sz w:val="20"/>
                <w:szCs w:val="20"/>
              </w:rPr>
              <w:t xml:space="preserve"> Global Management System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45D5FD9D" w:rsidR="00DE3145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DE3145" w:rsidRPr="00A81FA4" w:rsidRDefault="00DE3145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F1E7F9C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950" w14:textId="0CEBDE24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</w:rPr>
              <w:t xml:space="preserve">Interfejs 10 </w:t>
            </w:r>
            <w:proofErr w:type="spellStart"/>
            <w:r w:rsidRPr="00A81FA4">
              <w:rPr>
                <w:rFonts w:cstheme="minorHAnsi"/>
                <w:sz w:val="20"/>
              </w:rPr>
              <w:t>GbE</w:t>
            </w:r>
            <w:proofErr w:type="spellEnd"/>
            <w:r w:rsidRPr="00A81FA4">
              <w:rPr>
                <w:rFonts w:cstheme="minorHAnsi"/>
                <w:sz w:val="20"/>
              </w:rPr>
              <w:t xml:space="preserve"> SFP+ - min. 6.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29F0510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AB2B596" w14:textId="77777777" w:rsidTr="00F6299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236" w14:textId="176729F9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A81FA4">
              <w:rPr>
                <w:rFonts w:cstheme="minorHAnsi"/>
                <w:sz w:val="20"/>
                <w:lang w:val="de-DE"/>
              </w:rPr>
              <w:t>Interfejs</w:t>
            </w:r>
            <w:proofErr w:type="spellEnd"/>
            <w:r w:rsidRPr="00A81FA4">
              <w:rPr>
                <w:rFonts w:cstheme="minorHAnsi"/>
                <w:sz w:val="20"/>
                <w:lang w:val="de-DE"/>
              </w:rPr>
              <w:t xml:space="preserve"> 1G/5G/2.5G/10G RJ45 – min.2.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679B7783" w:rsidR="00F6299C" w:rsidRPr="00A81FA4" w:rsidRDefault="00F6299C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F6299C" w:rsidRPr="00A81FA4" w:rsidRDefault="00F6299C" w:rsidP="00A81FA4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F6299C" w:rsidRPr="00A81FA4" w14:paraId="227D0049" w14:textId="77777777" w:rsidTr="00F6299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3B1" w14:textId="2FA99288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>Interfejs RJ-45 Ethernet 10/100/1000 – każdy z interfejsów musi mieć możliwość konfiguracji osobnej podsieci i strefy bezpieczeństwa – min. 24.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5244C68A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D1A7F56" w14:textId="77777777" w:rsidTr="00F6299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879" w14:textId="6EE3AE7B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>Interfejs USB 3.0 dla przyszłych potrzeb i do podłączenia modemu 3G – min. 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33816FD4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48D79C2" w14:textId="77777777" w:rsidTr="00F6299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DA4" w14:textId="4AC4BFC5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Port konsoli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0A723207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189AD9A" w14:textId="77777777" w:rsidTr="00F6299C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60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2CD" w14:textId="78FDD476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Interfejs RJ-45 Ethernet 10/100/1000 do zarządzania zaporą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0D8" w14:textId="59F5EA04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760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43A250E" w14:textId="77777777" w:rsidTr="00F6299C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A9D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F51" w14:textId="3CCCA249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Urządzenie posiada dysk M.2 o pojemności przynajmniej 128 GB z możliwością wymiany na większy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ECD" w14:textId="4A1F937D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949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1166A12" w14:textId="77777777" w:rsidTr="00F6299C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444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7CD" w14:textId="117AA842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Możliwość przypisania wielu interfejsów fizycznych do pojedynczej strefy bezpieczeństwa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7CE" w14:textId="3869FBCD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CDA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A1CE809" w14:textId="77777777" w:rsidTr="00F6299C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3F9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A1C" w14:textId="2995A85F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Możliwość powiązania wielu interfejsów fizycznych w jeden port logiczny (agregacja portów) celem podniesienia wydajności połączeń oraz zapewnienia redundancji,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5EC" w14:textId="54EDB5B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8BB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AD3DCF4" w14:textId="77777777" w:rsidTr="00F4354A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3C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84B" w14:textId="1C8DDEBC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Możliwość utworzenia przynajmniej 512 interfejsów logicznych VLAN, wsparcie dla standardu 802.1q,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7E3" w14:textId="65E3C13E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95DB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47329F5" w14:textId="77777777" w:rsidTr="00F4354A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7A26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0DF" w14:textId="09A69B6E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Obsługa nielimitowanej ilości hostów podłączonych w sieci chronionej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646" w14:textId="40FC219C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E6A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03CBCB3F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7B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6C2" w14:textId="3E5BFF6E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Ilość jednocześnie obsługiwanych połączeń: min. 4 000 000.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1EB" w14:textId="42DA9B1B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9D2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999E376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05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216" w14:textId="3CC25E41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Możliwość obsłużenia nowych połączeń w ciągu 1 sekundy - przynajmniej 228 000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8FB" w14:textId="577D3BD7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877F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C14BF55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F4EA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70D" w14:textId="5B0A53EC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pracującego w trybie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stateful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firewall dla ramki 1518B zgodnie z RFC 2544 - 28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2BC" w14:textId="7A6D898F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4F0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0ADA399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90C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AAE" w14:textId="37FC2118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pracującego z włączonym mechanizmem IPS - 17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D54" w14:textId="574326B6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A5E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BE5D5C3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EA56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991" w14:textId="621C6950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pracującego jako koncentrator VPN dla szyfrowania AES bez aktywnych usług UTM, zgodnie z RFC 2544 - 18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11F" w14:textId="4631066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D1D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898F9D8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478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623" w14:textId="6726F105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DPI/NGFW (z włączonymi wszystkimi usługami bezpieczeństwa –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antivirus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IPS, bez buforowania i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proxy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i bez ograniczeń jeśli chodzi o wielkość skanowanych plików) - 16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DEB0" w14:textId="61CEB784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4D7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A72AFC7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714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4E1" w14:textId="1246B8A5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Minimalna ilość jednocześnie zestawionych tuneli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site-site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VPN (urządzenie – urządzenie) - 6000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D70" w14:textId="52631B98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DBB6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13B09FF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D41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91C" w14:textId="2660E242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Minimalna ilość licencji umożliwiających zestawienie połączeń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client-site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SSL VPN (komputer – urządzenie), dostępnych w pakiecie z urządzeniem - 2 z możliwością rozszerzenia do 1 500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07D" w14:textId="3F266B7D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2AB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DC96C32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73D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391" w14:textId="7410CB61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Minimalna ilość licencji umożliwiających zestawienie połączeń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client-site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IPSec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VPN (komputer – urządzenie), dostępnych w pakiecie z urządzeniem - 2 000 z możliwością rozszerzenia do przynajmniej 4 000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70" w14:textId="3FF66903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076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762CEFB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7F05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03F" w14:textId="1B7295E6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Urządzenie umożliwia poddanie inspekcji zawartości ruchu szyfrowanego SSL/TLS poprzez jego odszyfrowanie i ponowne zaszyfrowanie zmienionym certyfikatem. Administrator ma możliwość tworzenia wyjątków do inspekcji ruchu SSL poprzez wykorzystanie kategorii stron np. wyłączenie z inspekcji kategorii zawierających strony bankowe i medyczne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D6C" w14:textId="16361185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E96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6F06380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2889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FD6" w14:textId="789DBE64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Wydajność urządzenia z włączoną funkcją inspekcji ruchu SSL/TLS dla obsługi 350000 połączeń  - 7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41F" w14:textId="3DF43D6E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29D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BD8AB92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D66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8DE" w14:textId="4FA9911D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Obsługa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IPSec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ISAKMP/IKE, Radius, L2TP,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PPPoE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PPTP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2B6" w14:textId="24E4A9D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472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CD7398F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17B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9DE" w14:textId="3730F508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site-site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oraz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client-site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8A1" w14:textId="7353AC1C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E0E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40E5B351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E3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797" w14:textId="6C34F22B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Wsparcie funkcjonalności IP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Helper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lub IP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Relay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(przekazywanie komunikacji DHCP pomiędzy strefami bezpieczeństwa)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D7B" w14:textId="6BFEB1AB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AD0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686BC05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3E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F27" w14:textId="463B59A7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Uwierzytelnianie użytkowników w oparciu o wewnętrzną bazę użytkowników, oraz z wykorzystaniem zewnętrznych mechanizmów RADIUS/XAUTH, Active Directory, SSO, LDAP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663" w14:textId="24F2E4EF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178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8788A71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2A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7D" w14:textId="6DEB2339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Wsparcie dla Dynamicznego DNS tzw. DDNS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CBC" w14:textId="15456963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4A4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3C8FBB8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0E8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D74" w14:textId="137FF2D5" w:rsidR="00F6299C" w:rsidRPr="00A81FA4" w:rsidRDefault="00F6299C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Administrator posiada możliwość tworzenia różnych akcji dla stron które zostały wychwycone przez filtr treści. Muszą być dostępne takie akcje jak:  </w:t>
            </w:r>
          </w:p>
          <w:p w14:paraId="24E39CC6" w14:textId="77777777" w:rsidR="00F6299C" w:rsidRPr="00A81FA4" w:rsidRDefault="00F6299C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- wyświetlenie strony blokady (z możliwością tworzenia kilku różnych stron),  </w:t>
            </w:r>
          </w:p>
          <w:p w14:paraId="4B02257B" w14:textId="77777777" w:rsidR="00F6299C" w:rsidRPr="00A81FA4" w:rsidRDefault="00F6299C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- wyświetlenie strony blokady z możliwością podania hasła odblokowującego dostęp do zablokowanej strony,  </w:t>
            </w:r>
          </w:p>
          <w:p w14:paraId="60632B34" w14:textId="2C64B973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- wyświetlenie informacji z polityką bezpieczeństwa organizacji podczas wchodzenia na strony z danej kategorii. Użytkownik może wejść na stronę po akceptacji polityki.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933" w14:textId="22E8B629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529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67BBDCA8" w14:textId="77777777" w:rsidTr="004A17F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215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6A0" w14:textId="61631A10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IPSec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VPN. System wspomagania uwierzytelniania bezprzewodowych stacji roboczych, oraz użytkowników, pozwalający na wdrożenie polityki dostępowej dla sieci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CE68" w14:textId="35C8839E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CF0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10ED9C61" w14:textId="77777777" w:rsidTr="004A17F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20D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C7B" w14:textId="31EBC728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Możliwość uruchomienia minimum dwóch łączy WAN - Zintegrowane funkcje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Load-Balancing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oraz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Failover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. </w:t>
            </w:r>
            <w:r w:rsidRPr="00A81FA4">
              <w:rPr>
                <w:rFonts w:cstheme="minorHAnsi"/>
                <w:sz w:val="20"/>
                <w:lang w:eastAsia="pl-PL"/>
              </w:rPr>
              <w:lastRenderedPageBreak/>
              <w:t xml:space="preserve">Funkcja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Failover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oparta o badanie stanu łącza i badanie dostępności hosta zewnętrznego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9C4" w14:textId="686E1A44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160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0575CC8D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2E9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15F" w14:textId="6EFF625C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C33" w14:textId="403FA1FD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948D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2816BBCF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192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081" w14:textId="566D5011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Kontrola dostępności zestawionych tuneli VPN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CC2" w14:textId="64362BFE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BA6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663C912F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D13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9DD" w14:textId="3AA584B4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Możliwość zarządzania urządzeniem z wykorzystaniem protokołów http,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https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SSH i SNMP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CED" w14:textId="0D429B40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3DD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661A8664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A62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0B9" w14:textId="7AE0AFC6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Konfiguracja oparta na pracy grupowej/obiektowej. Polityka bezpieczeństwa pozwalająca na całkowitą kontrolę nad dostępem do Internetu powinna być tworzona według reguł opartych o grupy i obiekty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AFE" w14:textId="4F4A8FE9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E8C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54CC9B1A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42E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686" w14:textId="18C43C96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Przy tworzeniu reguł dostępowych zapewniona możliwość konfiguracji trzech typów reakcji: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allow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deny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discard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(zezwolić, zabronić, odrzucić),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60B" w14:textId="7A7FB72E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2CA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17ADE4AF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05A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6AF" w14:textId="3B55117F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72F" w14:textId="10A3623D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739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2A0B00F3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240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32F" w14:textId="498D0828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system skanowania antywirusowego na poziomie bramy internetowej – skanowanie protokołów http, ftp, pop3,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smtp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imap4,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tcp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stream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. Możliwość filtrowania załączników poczty. Skanowanie również plików skompresowanych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7510" w14:textId="66FC81D1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91F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2B74CC61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7AB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7BB" w14:textId="3A2B5A8C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system skanowania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71C" w14:textId="055DCB91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D29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13F89FB8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3E0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22E" w14:textId="2C3D8D5E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system IPS (system wykrywania i blokowania wtargnięć) oparty o sygnatury ataków uwzględniające zagrożenia typu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worm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Trojan, dziury systemowe,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peer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-to-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lastRenderedPageBreak/>
              <w:t>peer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buffer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overflow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komunikatory, niebezpieczne kody zawarte na stronach www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C54" w14:textId="7A5720C9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8C1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0389DAF2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0A5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832" w14:textId="50652730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System IPS musi używać algorytmu szeregowego przetwarzania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28E" w14:textId="7B91B82D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3A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1BF3D66D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4CC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BDF" w14:textId="539D46AF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Zintegrowany system zapory działającej w warstwie aplikacji, umożliwiający definiowanie własnych sygnatur aplikacji z wykorzystaniem ciągu znaków lub wyrażeń regularnych (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regex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8D5" w14:textId="20538B9D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FA7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50E4BB2D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781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724" w14:textId="77777777" w:rsidR="00577111" w:rsidRPr="00A81FA4" w:rsidRDefault="00577111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Systemy skanowania IPS/Antywirus/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muszą umożliwiać skanowanie ruchu w warstwie aplikacji,  </w:t>
            </w:r>
          </w:p>
          <w:p w14:paraId="458C2BAD" w14:textId="77777777" w:rsidR="00577111" w:rsidRPr="00A81FA4" w:rsidRDefault="00577111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a) Bazy w/w systemów muszą być aktualizowane co najmniej raz dziennie. </w:t>
            </w:r>
          </w:p>
          <w:p w14:paraId="2D745F65" w14:textId="77777777" w:rsidR="00577111" w:rsidRPr="00A81FA4" w:rsidRDefault="00577111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b) Administrator systemu musi mieć możliwość ręcznej aktualizacji sygnatur (online lub offline poprzez manualne zaimportowanie sygnatur, </w:t>
            </w:r>
          </w:p>
          <w:p w14:paraId="1CD06102" w14:textId="647C6D79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c) Administrator systemu musi mieć możliwość skonfigurowania, którym portem i łączem urządzenie będzie się kontaktowało z serwerami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backend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w celu aktualizacji sygnatur.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7D9" w14:textId="401FC3DA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33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7E630DB5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966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8DF" w14:textId="14809540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System IPS/Antywirus/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nie posiada ograniczeń związanych z rozmiarem skanowanych plików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C2E" w14:textId="1DA9566B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140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5F814E3E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91C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584" w14:textId="23EA6702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Skanowanie IPS/Antywirus/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jest możliwe między strefami bezpieczeństwa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13A" w14:textId="046500A5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15B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3B54A361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6E24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41A" w14:textId="727E7863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Wsparcie mechanizmów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QoS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– Priorytet pasma, maksymalizacja pasma, gwarancja pasma, DSCP, 802.1p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5B1" w14:textId="31D66F24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C46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3BE0E00D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FC7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232" w14:textId="78DD64CC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Wsparcie dla komunikacji VoIP - Pełne wsparcie dla SIP, H323v.1-5, zarządzanie pasmem (ruch wychodzący), VoIP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over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WLAN, śledzenie i monitorowanie połączeń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6093" w14:textId="0A729092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D46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728F6052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A29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BE8" w14:textId="6070E99B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Urządzenie posiada możliwość realizacji funkcjonalności SD-WAN bazując minimum na poniższych parametrach: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Jitter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Latency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Packet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Loss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. Funkcjonalność nie może wymagać zakupu dodatkowych licencji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9925" w14:textId="6820F85E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EF92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7123D5FF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A07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677" w14:textId="66BED71E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Urządzenie umożliwia analizę behawioralną (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) minimum plików wykonywalnych PE, PDF, Office i aplikacji mobilnych.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powinien działać z wykorzystaniem minimum 4 silników pochodzących od różnych </w:t>
            </w:r>
            <w:r w:rsidRPr="00A81FA4">
              <w:rPr>
                <w:rFonts w:cstheme="minorHAnsi"/>
                <w:sz w:val="20"/>
                <w:lang w:eastAsia="pl-PL"/>
              </w:rPr>
              <w:lastRenderedPageBreak/>
              <w:t xml:space="preserve">producentów w celu zwiększenia skuteczności analizy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. Analiza powinna być wykonywana równolegle na wszystkich silnikach. Funkcjonalność nie może wymagać zakupu dodatkowych licencji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9E3" w14:textId="53E52B5A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E52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1E4745E3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4817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0F1" w14:textId="424F84BF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Urządzenie powinno posiadać zintegrowany kontroler sieci bezprzewodowej kompatybilny z punktami dostępowymi pochodzącymi od tego samego producenta i pozwalający na obsługę do 512 takich punktów dostępowych sieci bezprzewodowej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4C4C" w14:textId="19BD098B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4EB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5DBDF16C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AC5E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4AD" w14:textId="3B8D8526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Subskrypcje pozwalające na aktualizację sygnatur aplikacji, IPS i wirusów oraz dostęp do bazy URL dla modułu kontroli aplikacji,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sandboxing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 - na okres 3 lat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7483" w14:textId="5555134F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9E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3FEF917A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22E6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7FE" w14:textId="6AF90179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Okres licencjonowania dodatkowych funkcjonalności np. świadomość i kontrola ruchu sieciowego na poziomie aplikacji, IPS,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AntiMalware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Content Web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filtering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itp. – min. 3 lata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C15" w14:textId="6528E8E2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F2D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2F858E7C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CE9D" w14:textId="77777777" w:rsidR="00577111" w:rsidRPr="00A81FA4" w:rsidRDefault="00CE5189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Gwarancja</w:t>
            </w:r>
            <w:r w:rsidRPr="00A81FA4">
              <w:rPr>
                <w:rFonts w:cstheme="minorHAnsi"/>
                <w:sz w:val="20"/>
              </w:rPr>
              <w:t>:</w:t>
            </w:r>
          </w:p>
          <w:p w14:paraId="4535AD56" w14:textId="5E508A72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bookmarkStart w:id="0" w:name="_Hlk138927142"/>
            <w:r w:rsidRPr="00A81FA4">
              <w:rPr>
                <w:rFonts w:asciiTheme="minorHAnsi" w:hAnsiTheme="minorHAnsi" w:cstheme="minorHAnsi"/>
                <w:sz w:val="20"/>
              </w:rPr>
              <w:t xml:space="preserve">Całe rozwiązanie ma być objęte gwarancją </w:t>
            </w:r>
            <w:r w:rsidR="00A81FA4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="00F6276E">
              <w:rPr>
                <w:rFonts w:asciiTheme="minorHAnsi" w:hAnsiTheme="minorHAnsi" w:cstheme="minorHAnsi"/>
                <w:sz w:val="20"/>
              </w:rPr>
              <w:t>36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miesięcy - realizowana w miejscu instalacji sprzętu, z czasem reakcji do następnego dnia roboczego od przyjęcia zgłoszenia, możliwość zgłaszania awarii w trybie w trybie min. 8 godzin przez 5 dni  roboczych w tygodniu poprzez ogólnopolską linię telefoniczną producenta lub adres e-mail.</w:t>
            </w:r>
          </w:p>
          <w:p w14:paraId="3747A0DF" w14:textId="203345F7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 xml:space="preserve">Usługi serwisu gwarancyjnego świadczone będą  w trybie min. 8 godzin przez 5 dni roboczych w tygodniu na wszystkie elementy </w:t>
            </w:r>
            <w:r w:rsidR="00E11B5A">
              <w:rPr>
                <w:rFonts w:asciiTheme="minorHAnsi" w:hAnsiTheme="minorHAnsi" w:cstheme="minorHAnsi"/>
                <w:sz w:val="20"/>
              </w:rPr>
              <w:t>urządzeń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(sprzęt oraz oprogramowanie), z gwarantowanym czasem skutecznej naprawy do 48 godzin.</w:t>
            </w:r>
          </w:p>
          <w:p w14:paraId="51F362AD" w14:textId="77777777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Pod wskazanym numerem telefonu lub adresem e-mail można również uzyskać informacje odnośnie statusu wykonywanej/zgłoszonej naprawy.</w:t>
            </w:r>
          </w:p>
          <w:p w14:paraId="011D749F" w14:textId="77777777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Zamawiający wymaga, aby usługi serwisowe świadczone były przez producenta oferowanego sprzętu bądź autoryzowanego partnera przez cały okres gwarancji.</w:t>
            </w:r>
          </w:p>
          <w:p w14:paraId="620FAF35" w14:textId="01B774D6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lastRenderedPageBreak/>
              <w:t xml:space="preserve">Elementy, z których zbudowane są </w:t>
            </w:r>
            <w:r w:rsidR="00E11B5A">
              <w:rPr>
                <w:rFonts w:asciiTheme="minorHAnsi" w:hAnsiTheme="minorHAnsi" w:cstheme="minorHAnsi"/>
                <w:sz w:val="20"/>
              </w:rPr>
              <w:t>urządzenia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muszą być produktami producenta tych </w:t>
            </w:r>
            <w:r w:rsidR="00E11B5A">
              <w:rPr>
                <w:rFonts w:asciiTheme="minorHAnsi" w:hAnsiTheme="minorHAnsi" w:cstheme="minorHAnsi"/>
                <w:sz w:val="20"/>
              </w:rPr>
              <w:t>urządzeń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lub być przez niego certyfikowane (Zamawiający może wymagać oświadczenia producenta) oraz muszą być objęte gwarancją producenta, potwierdzoną przez oryginalne karty gwarancyjne przekazane Zamawiającemu przy dostawie.</w:t>
            </w:r>
          </w:p>
          <w:p w14:paraId="0EC16DFB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Jeśli naprawa nośników informacji u Zamawiającego okaże się niemożliwa, w przypadku konieczności wymiany uszkodzonych nośników informacji (zapisanych danymi Zamawiającego) na nowe wolne od wad uszkodzone nośniki pozostają u Zamawiającego.</w:t>
            </w:r>
          </w:p>
          <w:p w14:paraId="2DA50070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okresie gwarancji Gwarant zobowiązany jest do wykonywania, w miejscu lokalizacji przedmiotu zamówienia, następujących usług:</w:t>
            </w:r>
          </w:p>
          <w:p w14:paraId="2E0EA2C1" w14:textId="77777777" w:rsidR="00CE5189" w:rsidRPr="00A81FA4" w:rsidRDefault="00CE5189" w:rsidP="00A81FA4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napraw uszkodzeń spowodowanych wadami technicznymi, technologicznymi i materiałowymi przy wykorzystaniu nowych nie regenerowanych, nie używanych części i podzespołów,</w:t>
            </w:r>
          </w:p>
          <w:p w14:paraId="02868655" w14:textId="77777777" w:rsidR="00CE5189" w:rsidRPr="00A81FA4" w:rsidRDefault="00CE5189" w:rsidP="00A81FA4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testowania poprawności działania sprzętu po wykonaniu jego naprawy,</w:t>
            </w:r>
          </w:p>
          <w:p w14:paraId="7DDC118A" w14:textId="77777777" w:rsidR="00CE5189" w:rsidRPr="00A81FA4" w:rsidRDefault="00CE5189" w:rsidP="00A81FA4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telefonicznej pomocy przy rozwiązywaniu problemów dotyczących sprzętu, zwanych dalej „usługami serwisu gwarancyjnego”.</w:t>
            </w:r>
          </w:p>
          <w:p w14:paraId="7E99D0D8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Wszelkie koszty naprawy w trakcie czasu trwania Gwarancji, w tym koszt transportu do serwisu, ponownej instalacji i uruchomienia ponosi Gwarant.</w:t>
            </w:r>
          </w:p>
          <w:p w14:paraId="6DEDED05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Serwis gwarancyjny musi obejmować bezpłatny dostęp do poprawek i nowych wersji oprogramowania wbudowanego, które są elementem zamówienia przez cały okres obowiązywania gwarancji.</w:t>
            </w:r>
          </w:p>
          <w:p w14:paraId="5BAAD113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Czas reakcji liczony od chwili zgłoszenia awarii wynosić będzie 24 godziny. </w:t>
            </w:r>
          </w:p>
          <w:p w14:paraId="4323B446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Czas skutecznej naprawy wad, usterek lub awarii sprzętu liczony od chwili zgłoszenia awarii do chwili usunięcia awarii potwierdzonej diagnostyką lub testem wynosić będzie 48 godziny. W przypadku, gdy podany 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 xml:space="preserve">48 godzinny termin skutecznej naprawy wypada w dni wolne od pracy tj. sobota, niedziela lub święto termin naprawy zostanie ustalony mailowo, przy czym naprawa wykonana zostanie najpóźniej w pierwszym dniu roboczym następującym po dniu wolnym </w:t>
            </w:r>
            <w:bookmarkEnd w:id="0"/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od pracy lub święcie do godziny 16.</w:t>
            </w:r>
          </w:p>
          <w:p w14:paraId="4BC7AA42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Serwis gwarancyjny świadczony będzie w miejscu użytkowania sprzętu. Jednakże w przypadku konieczności wykonania naprawy w serwisie Producenta, Gwarant zapewni na własny koszt odbiór sprzętu do naprawy i jego dostawę po dokonaniu naprawy oraz dostarczenie sprzętu zastępczego na czas naprawy. </w:t>
            </w:r>
          </w:p>
          <w:p w14:paraId="45DB9518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Zakres usług serwisu gwarancyjnego obejmuje również dojazd i pracę osób wykonujących czynności serwisowe w imieniu Gwaranta.</w:t>
            </w:r>
          </w:p>
          <w:p w14:paraId="13F3A1DF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Każda osoba wykonująca w imieniu Wykonawcy usługi serwisu gwarancyjnego będzie posiadała dokument tożsamości i pisemne upoważnienie  wystawione przez Wykonawcę oraz będzie zobligowana stosować się do przepisów wewnętrznych Zamawiającego dotyczących ruchu osobowego i materiałowego.</w:t>
            </w:r>
          </w:p>
          <w:p w14:paraId="0495ADEC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 będzie wykonywał usługi serwisu gwarancyjnego przy wykorzystaniu własnych materiałów, sprzętu i narzędzi.</w:t>
            </w:r>
          </w:p>
          <w:p w14:paraId="7D3DFC44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Części lub podzespoły, które zostaną wymienione w ramach usług serwisu gwarancyjnego stają się własnością Gwaranta, który zobowiązuje się do ich bezpośredniego odbioru od Zamawiającego i utylizacji zgodnie z obowiązującymi przepisami prawa. Nie dotyczy to nośników pamięci, które pozostają u Zamawiającego.</w:t>
            </w:r>
          </w:p>
          <w:p w14:paraId="4E03AC1F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przypadku wymiany części lub podzespołów, Gwarant zobowiązany jest do dostarczenia karty gwarancyjnej (jeśli ich producent udziela odrębnej gwarancji) wraz z jej tłumaczeniem na język polski.</w:t>
            </w:r>
          </w:p>
          <w:p w14:paraId="7DEEFEFE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W razie nie usunięcia przez Gwaranta wad lub usterek objętych gwarancją w wyznaczonym terminie lub sprzecznie z warunkami gwarancji, Zamawiający  może usunąć je na koszt Gwaranta we własnym zakresie lub zlecić ich usunięcie osobie trzeciej, z zachowaniem swoich praw wynikających z gwarancji. W przypadku skorzystania z powyższego uprawnienia Zamawiający zobowiązany jest, w formie pisemnej, do niezwłocznego powiadomienia Gwaranta o tym fakcie. Zamawiający powiadomi Gwaranta o zakresie wykonanych prac (napraw, zmian, wymiany na nowe urządzenie itp.), w takim przypadku Gwarant zobowiązany jest wypłacić Zamawiającemu kwotę stanowiącą równowartość poniesionego przez Zamawiającego kosztu wykonania tych prac.</w:t>
            </w:r>
          </w:p>
          <w:p w14:paraId="54B95F64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razie trzykrotnej naprawy w okresie gwarancji tego samego urządzenia, Zamawiający może żądać od Wykonawcy wymiany urządzenia na nowe, wolne od wad. W takim przypadku koszty wymiany urządzenia obciążają Gwaranta. Termin na wymianę wynosi maksymalnie 10 dni kalendarzowych od chwili zgłoszenia żądania przez Zamawiającego. W razie wymiany urządzenia na nowe, wolne od wad, termin gwarancji biegnie na nowo.</w:t>
            </w:r>
          </w:p>
          <w:p w14:paraId="1DD90E3E" w14:textId="1B89E502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Udzielona gwarancja nie będzie ograniczała Zamawiającego w rozbudowie lub rekonfiguracji </w:t>
            </w:r>
            <w:r w:rsidR="00CF247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urządzeń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 ile będą one wykonywane zgodnie z wymogami technicznymi producenta </w:t>
            </w:r>
            <w:r w:rsidR="00CF247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urządzeń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3E4E48FB" w14:textId="064EF351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Gwarancja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40D4FE6F" w:rsidR="00577111" w:rsidRPr="00A81FA4" w:rsidRDefault="00CE5189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A81FA4" w14:paraId="4AD89B5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34331" w:rsidRPr="00A81FA4" w:rsidRDefault="00B3433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BEB" w14:textId="77777777" w:rsidR="00B34331" w:rsidRPr="00A81FA4" w:rsidRDefault="006D43A0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Inne</w:t>
            </w:r>
            <w:r w:rsidRPr="00A81FA4">
              <w:rPr>
                <w:rFonts w:cstheme="minorHAnsi"/>
                <w:sz w:val="20"/>
              </w:rPr>
              <w:t>:</w:t>
            </w:r>
          </w:p>
          <w:p w14:paraId="22DECFED" w14:textId="05440842" w:rsidR="006D43A0" w:rsidRPr="00A81FA4" w:rsidRDefault="00001527" w:rsidP="00A81F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UTM</w:t>
            </w:r>
            <w:r w:rsidR="006D43A0" w:rsidRPr="00A81FA4">
              <w:rPr>
                <w:rFonts w:asciiTheme="minorHAnsi" w:hAnsiTheme="minorHAnsi" w:cstheme="minorHAnsi"/>
                <w:sz w:val="20"/>
              </w:rPr>
              <w:t xml:space="preserve"> musi być fabrycznie nowa z bieżącej linii produkcyjnej (musi być obecny w ofercie na aktualnej </w:t>
            </w:r>
            <w:r w:rsidR="006D43A0" w:rsidRPr="00A81FA4">
              <w:rPr>
                <w:rFonts w:asciiTheme="minorHAnsi" w:hAnsiTheme="minorHAnsi" w:cstheme="minorHAnsi"/>
                <w:sz w:val="20"/>
              </w:rPr>
              <w:lastRenderedPageBreak/>
              <w:t xml:space="preserve">stronie www producenta i pochodzić z oficjalnego kanału dystrybucyjnego w Polsce. Nie dopuszcza się użycia </w:t>
            </w:r>
            <w:r w:rsidR="00A81FA4">
              <w:rPr>
                <w:rFonts w:asciiTheme="minorHAnsi" w:hAnsiTheme="minorHAnsi" w:cstheme="minorHAnsi"/>
                <w:sz w:val="20"/>
              </w:rPr>
              <w:t>urządzeń</w:t>
            </w:r>
            <w:r w:rsidR="006D43A0" w:rsidRPr="00A81FA4">
              <w:rPr>
                <w:rFonts w:asciiTheme="minorHAnsi" w:hAnsiTheme="minorHAnsi" w:cstheme="minorHAnsi"/>
                <w:sz w:val="20"/>
              </w:rPr>
              <w:t xml:space="preserve"> demonstracyjnych lub powystawowych.</w:t>
            </w:r>
          </w:p>
          <w:p w14:paraId="58DB84DF" w14:textId="1EE09FDF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momencie składania oferty wszystkie elementy oferowane</w:t>
            </w:r>
            <w:r w:rsid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go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</w:t>
            </w:r>
            <w:r w:rsid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urządzenia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muszą być dostępne w ofercie Producenta i nie mogą być przeznaczone przez producenta do wycofania z produkcji lub sprzedaży.</w:t>
            </w:r>
          </w:p>
          <w:p w14:paraId="78854DAD" w14:textId="0E218571" w:rsidR="006D43A0" w:rsidRPr="00A81FA4" w:rsidRDefault="00A81FA4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UTM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być oznakowany przez producenta w taki sposób, aby możliwa była identyfikacja zarówno produktu jak i producenta.</w:t>
            </w:r>
          </w:p>
          <w:p w14:paraId="2D01F0EB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wymaga zaktualizowania firmware półki dyskowej do najnowszej wersji kompatybilnej z wersją oprogramowania macierzy posiadaną przez Zamawiającego</w:t>
            </w:r>
          </w:p>
          <w:p w14:paraId="3E841FA5" w14:textId="021AE015" w:rsidR="006D43A0" w:rsidRPr="00A81FA4" w:rsidRDefault="00A81FA4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UTM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być dostarczon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y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Zamawiającemu w oryginalnym opakowaniu fabrycznym.</w:t>
            </w:r>
          </w:p>
          <w:p w14:paraId="6DBEC039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Do każdego urządzenia i oprogramowania musi być dostarczony komplet standardowej dokumentacji dla użytkownika w formie papierowej lub elektronicznej w języku angielskim lub polskim.</w:t>
            </w:r>
          </w:p>
          <w:p w14:paraId="49E14F41" w14:textId="26313C0B" w:rsidR="006D43A0" w:rsidRPr="00A81FA4" w:rsidRDefault="00A81FA4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UTM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pochodzić z autoryzowanego przez jego producenta kanału dystrybucji w UE i nie może być obciążony uprzednio nabytymi prawami podmiotów trzecich (</w:t>
            </w:r>
            <w:proofErr w:type="spellStart"/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subdystrybucja</w:t>
            </w:r>
            <w:proofErr w:type="spellEnd"/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, niezależni brokerzy) oraz musi być przeznaczony do sprzedaży i serwisu na rynku polskim.</w:t>
            </w:r>
          </w:p>
          <w:p w14:paraId="63AA56E3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zastrzega sobie prawo do sprawdzenia legalności dostawy bezpośrednio u polskiego przedstawiciela producenta, w szczególności ważności i zakresu uprawnień licencyjnych oraz gwarancyjnych.</w:t>
            </w:r>
          </w:p>
          <w:p w14:paraId="18D44059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Korzystanie przez Zamawiającego z dostarczonego produktu nie może naruszać majątkowych praw autorskich osób trzecich.</w:t>
            </w:r>
          </w:p>
          <w:p w14:paraId="21B54FCE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Wszystkie urządzenia muszą posiadać oznakowanie CE produktu albo spełniać normy równoważne.</w:t>
            </w:r>
          </w:p>
          <w:p w14:paraId="43C35186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 xml:space="preserve">Wszystkie urządzenia, jeśli nie podano inaczej, muszą współpracować z siecią energetyczną o parametrach: 230 V ± 10%, 50 </w:t>
            </w:r>
            <w:proofErr w:type="spellStart"/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Hz</w:t>
            </w:r>
            <w:proofErr w:type="spellEnd"/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371B6AA8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może przed dostawą zażądać dokumentu zawierającego listę numerów seryjnych dostarczanego sprzętu w celu weryfikacji spełnienia warunków gwarancyjnych.</w:t>
            </w:r>
          </w:p>
          <w:p w14:paraId="7175579B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może sprawdzić spełnienie powyższych warunków w polskim biurze producenta np. na podstawie numeru seryjnego urządzenia – w przypadku niezgodności deklaracji Gwaranta z opinią producenta - Zamawiający odmówi odbioru przedmiotu zamówienia, jako niezgodnego ze specyfikacją istotnych warunków zamówienia.</w:t>
            </w:r>
          </w:p>
          <w:p w14:paraId="1338AAD8" w14:textId="2E98956D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Dostarczany przez Dostaw</w:t>
            </w:r>
            <w:bookmarkStart w:id="1" w:name="_GoBack"/>
            <w:bookmarkEnd w:id="1"/>
            <w:r w:rsidRPr="00A81FA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cę sprzęt zawiera osprzęt wymagany przez producenta oferowanego rozwiązania zgodnie z projektem technicznym (okablowanie, wkładki instalowane w dostarczanym urządzeniu, inne) niezbędny do jego prawidłowego podłączenia do infrastruktury Zamawiającego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658F7B03" w:rsidR="00B34331" w:rsidRPr="00A81FA4" w:rsidRDefault="00001527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34331" w:rsidRPr="00A81FA4" w:rsidRDefault="00B3433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A81FA4" w14:paraId="29A9638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34331" w:rsidRPr="00A81FA4" w:rsidRDefault="00B3433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0C2" w14:textId="77777777" w:rsidR="00B34331" w:rsidRPr="0086057E" w:rsidRDefault="00001527" w:rsidP="00A81FA4">
            <w:pPr>
              <w:spacing w:after="0" w:line="240" w:lineRule="auto"/>
              <w:rPr>
                <w:rFonts w:cstheme="minorHAnsi"/>
                <w:strike/>
                <w:sz w:val="20"/>
              </w:rPr>
            </w:pPr>
            <w:r w:rsidRPr="0086057E">
              <w:rPr>
                <w:rFonts w:cstheme="minorHAnsi"/>
                <w:b/>
                <w:strike/>
                <w:sz w:val="20"/>
                <w:u w:val="single"/>
              </w:rPr>
              <w:t>Dostawa</w:t>
            </w:r>
            <w:r w:rsidRPr="0086057E">
              <w:rPr>
                <w:rFonts w:cstheme="minorHAnsi"/>
                <w:strike/>
                <w:sz w:val="20"/>
              </w:rPr>
              <w:t>:</w:t>
            </w:r>
          </w:p>
          <w:p w14:paraId="0A8E4A7D" w14:textId="77777777" w:rsidR="00001527" w:rsidRPr="0086057E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trike/>
                <w:sz w:val="20"/>
              </w:rPr>
            </w:pPr>
            <w:r w:rsidRPr="0086057E">
              <w:rPr>
                <w:rFonts w:asciiTheme="minorHAnsi" w:hAnsiTheme="minorHAnsi" w:cstheme="minorHAnsi"/>
                <w:strike/>
                <w:sz w:val="20"/>
              </w:rPr>
              <w:t>Dostawca sprzętu zobowiązany jest do przestawienia scenariusza wdrożenia w podziale na daty oraz etapy do weryfikacji i zatwierdzenia przez Zamawiającego.</w:t>
            </w:r>
          </w:p>
          <w:p w14:paraId="0FCC6498" w14:textId="0A411B16" w:rsidR="00001527" w:rsidRPr="0086057E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trike/>
                <w:sz w:val="20"/>
              </w:rPr>
            </w:pPr>
            <w:r w:rsidRPr="0086057E">
              <w:rPr>
                <w:rFonts w:asciiTheme="minorHAnsi" w:hAnsiTheme="minorHAnsi" w:cstheme="minorHAnsi"/>
                <w:strike/>
                <w:sz w:val="20"/>
              </w:rPr>
              <w:t xml:space="preserve">Dostawca sprzętu zobowiązany jest do instalacji i konfiguracji sprzętu w miejscu wskazanym przez </w:t>
            </w:r>
            <w:r w:rsidR="00943AA8" w:rsidRPr="0086057E">
              <w:rPr>
                <w:rFonts w:asciiTheme="minorHAnsi" w:hAnsiTheme="minorHAnsi" w:cstheme="minorHAnsi"/>
                <w:strike/>
                <w:sz w:val="20"/>
              </w:rPr>
              <w:t>Z</w:t>
            </w:r>
            <w:r w:rsidRPr="0086057E">
              <w:rPr>
                <w:rFonts w:asciiTheme="minorHAnsi" w:hAnsiTheme="minorHAnsi" w:cstheme="minorHAnsi"/>
                <w:strike/>
                <w:sz w:val="20"/>
              </w:rPr>
              <w:t>amawiającego przy asyście pracowników Uniwersytetu Medycznego w Poznaniu.</w:t>
            </w:r>
          </w:p>
          <w:p w14:paraId="6E3DE58D" w14:textId="02E3D0AE" w:rsidR="00001527" w:rsidRPr="0086057E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trike/>
                <w:sz w:val="20"/>
              </w:rPr>
            </w:pPr>
            <w:r w:rsidRPr="0086057E">
              <w:rPr>
                <w:rFonts w:asciiTheme="minorHAnsi" w:hAnsiTheme="minorHAnsi" w:cstheme="minorHAnsi"/>
                <w:strike/>
                <w:sz w:val="20"/>
              </w:rPr>
              <w:t xml:space="preserve">Usługa instalacji i uruchomienia </w:t>
            </w:r>
            <w:r w:rsidR="00215579" w:rsidRPr="0086057E">
              <w:rPr>
                <w:rFonts w:asciiTheme="minorHAnsi" w:hAnsiTheme="minorHAnsi" w:cstheme="minorHAnsi"/>
                <w:strike/>
                <w:sz w:val="20"/>
              </w:rPr>
              <w:t>urządzeń</w:t>
            </w:r>
            <w:r w:rsidRPr="0086057E">
              <w:rPr>
                <w:rFonts w:asciiTheme="minorHAnsi" w:hAnsiTheme="minorHAnsi" w:cstheme="minorHAnsi"/>
                <w:strike/>
                <w:sz w:val="20"/>
              </w:rPr>
              <w:t xml:space="preserve"> musi zostać wykonana przez Producenta lub Autoryzowanego Partnera Producenta.</w:t>
            </w:r>
          </w:p>
          <w:p w14:paraId="6A244FDE" w14:textId="3A97D7C8" w:rsidR="00001527" w:rsidRPr="0086057E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trike/>
                <w:sz w:val="20"/>
              </w:rPr>
            </w:pPr>
            <w:r w:rsidRPr="0086057E">
              <w:rPr>
                <w:rFonts w:asciiTheme="minorHAnsi" w:hAnsiTheme="minorHAnsi" w:cstheme="minorHAnsi"/>
                <w:strike/>
                <w:sz w:val="20"/>
              </w:rPr>
              <w:t>Dostawca sprzętu zobowiązany jest do dostarczenia dokumentacji powdrożeniowej zawierającej m. in. dane dostępowe.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679B3D4F" w:rsidR="00B34331" w:rsidRPr="0086057E" w:rsidRDefault="00001527" w:rsidP="00A81FA4">
            <w:pPr>
              <w:spacing w:after="0" w:line="240" w:lineRule="auto"/>
              <w:jc w:val="center"/>
              <w:rPr>
                <w:rFonts w:cstheme="minorHAnsi"/>
                <w:bCs/>
                <w:strike/>
                <w:snapToGrid w:val="0"/>
                <w:sz w:val="20"/>
                <w:szCs w:val="20"/>
              </w:rPr>
            </w:pPr>
            <w:r w:rsidRPr="0086057E">
              <w:rPr>
                <w:rFonts w:cstheme="minorHAnsi"/>
                <w:bCs/>
                <w:strike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34331" w:rsidRPr="00A81FA4" w:rsidRDefault="00B3433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01527" w:rsidRPr="00A81FA4" w14:paraId="6789E597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9D8" w14:textId="77777777" w:rsidR="00001527" w:rsidRPr="00A81FA4" w:rsidRDefault="00001527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A2F" w14:textId="77777777" w:rsidR="00001527" w:rsidRPr="00A81FA4" w:rsidRDefault="00001527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Dodatkowe wyposażenie:</w:t>
            </w:r>
          </w:p>
          <w:p w14:paraId="32417B5D" w14:textId="77777777" w:rsidR="00001527" w:rsidRPr="00A81FA4" w:rsidRDefault="00001527" w:rsidP="00A81FA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lastRenderedPageBreak/>
              <w:t xml:space="preserve">Wkładki do </w:t>
            </w:r>
            <w:proofErr w:type="spellStart"/>
            <w:r w:rsidRPr="00A81FA4">
              <w:rPr>
                <w:rFonts w:asciiTheme="minorHAnsi" w:hAnsiTheme="minorHAnsi" w:cstheme="minorHAnsi"/>
                <w:sz w:val="20"/>
              </w:rPr>
              <w:t>Sonicwall</w:t>
            </w:r>
            <w:proofErr w:type="spellEnd"/>
            <w:r w:rsidRPr="00A81FA4">
              <w:rPr>
                <w:rFonts w:asciiTheme="minorHAnsi" w:hAnsiTheme="minorHAnsi" w:cstheme="minorHAnsi"/>
                <w:sz w:val="20"/>
              </w:rPr>
              <w:t xml:space="preserve">, SFP+ 10 </w:t>
            </w:r>
            <w:proofErr w:type="spellStart"/>
            <w:r w:rsidRPr="00A81FA4">
              <w:rPr>
                <w:rFonts w:asciiTheme="minorHAnsi" w:hAnsiTheme="minorHAnsi" w:cstheme="minorHAnsi"/>
                <w:sz w:val="20"/>
              </w:rPr>
              <w:t>Gbit</w:t>
            </w:r>
            <w:proofErr w:type="spellEnd"/>
            <w:r w:rsidRPr="00A81FA4">
              <w:rPr>
                <w:rFonts w:asciiTheme="minorHAnsi" w:hAnsiTheme="minorHAnsi" w:cstheme="minorHAnsi"/>
                <w:sz w:val="20"/>
              </w:rPr>
              <w:t>/s, wielomodowe, dwuwłóknowe – 4 szt.</w:t>
            </w:r>
          </w:p>
          <w:p w14:paraId="2700B519" w14:textId="427EA26B" w:rsidR="00001527" w:rsidRPr="00980A1B" w:rsidRDefault="00980A1B" w:rsidP="00980A1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980A1B">
              <w:rPr>
                <w:rFonts w:asciiTheme="minorHAnsi" w:hAnsiTheme="minorHAnsi" w:cstheme="minorHAnsi"/>
                <w:sz w:val="20"/>
              </w:rPr>
              <w:t xml:space="preserve">Wkładki SFP+ 10Gbit/s wielomodowe, dwuwłóknowe do posiadanego przez Zamawiającego przełącznika DELL N4032F </w:t>
            </w:r>
            <w:r w:rsidR="00001527" w:rsidRPr="00980A1B">
              <w:rPr>
                <w:rFonts w:asciiTheme="minorHAnsi" w:hAnsiTheme="minorHAnsi" w:cstheme="minorHAnsi"/>
                <w:sz w:val="20"/>
              </w:rPr>
              <w:t>– 4 szt.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CD9" w14:textId="7F8D9E87" w:rsidR="00001527" w:rsidRPr="00A81FA4" w:rsidRDefault="00001527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696" w14:textId="77777777" w:rsidR="00001527" w:rsidRPr="00A81FA4" w:rsidRDefault="00001527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14:paraId="710A270C" w14:textId="2D88EDBF" w:rsidR="00CD342A" w:rsidRPr="00A81FA4" w:rsidRDefault="00CD342A" w:rsidP="00A81FA4">
      <w:pPr>
        <w:spacing w:after="0" w:line="240" w:lineRule="auto"/>
        <w:rPr>
          <w:rFonts w:cstheme="minorHAnsi"/>
        </w:rPr>
      </w:pPr>
    </w:p>
    <w:p w14:paraId="12D866F8" w14:textId="16B6C5ED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i/>
          <w:color w:val="FF0000"/>
        </w:rPr>
        <w:t>kwalifikowanym podpisem elektronicznym</w:t>
      </w:r>
    </w:p>
    <w:p w14:paraId="0E54F9EB" w14:textId="77777777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color w:val="FF0000"/>
        </w:rPr>
        <w:t>podpisy osób/-y uprawnionych/-ej</w:t>
      </w:r>
    </w:p>
    <w:p w14:paraId="21613553" w14:textId="77777777" w:rsidR="009F0B0F" w:rsidRPr="00A81FA4" w:rsidRDefault="009F0B0F" w:rsidP="00A81FA4">
      <w:pPr>
        <w:spacing w:after="0" w:line="240" w:lineRule="auto"/>
        <w:rPr>
          <w:rFonts w:cstheme="minorHAnsi"/>
        </w:rPr>
      </w:pPr>
    </w:p>
    <w:sectPr w:rsidR="009F0B0F" w:rsidRPr="00A81FA4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215579"/>
    <w:rsid w:val="003D2249"/>
    <w:rsid w:val="004838A4"/>
    <w:rsid w:val="005167E7"/>
    <w:rsid w:val="00577111"/>
    <w:rsid w:val="006628CF"/>
    <w:rsid w:val="006D43A0"/>
    <w:rsid w:val="00836BDB"/>
    <w:rsid w:val="0086057E"/>
    <w:rsid w:val="008B48A9"/>
    <w:rsid w:val="00943AA8"/>
    <w:rsid w:val="00955E65"/>
    <w:rsid w:val="00980A1B"/>
    <w:rsid w:val="009F0B0F"/>
    <w:rsid w:val="00A81FA4"/>
    <w:rsid w:val="00B34331"/>
    <w:rsid w:val="00B35B3C"/>
    <w:rsid w:val="00BB5116"/>
    <w:rsid w:val="00BF364B"/>
    <w:rsid w:val="00CD342A"/>
    <w:rsid w:val="00CE5189"/>
    <w:rsid w:val="00CF247A"/>
    <w:rsid w:val="00D34364"/>
    <w:rsid w:val="00DE3145"/>
    <w:rsid w:val="00E11B5A"/>
    <w:rsid w:val="00E15330"/>
    <w:rsid w:val="00F55134"/>
    <w:rsid w:val="00F6276E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6" ma:contentTypeDescription="Utwórz nowy dokument." ma:contentTypeScope="" ma:versionID="a6d5b88d94ad3b073b423fac3c433095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d970915f011a677d2f4663afc37a0b0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40B2-8D15-4108-9343-F8886EB672D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ac2bcd6b-1cfb-4024-b694-1e96efe82571"/>
    <ds:schemaRef ds:uri="8d7f34ec-9741-4b79-a27d-5e7851a777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4C990-AE6F-439C-8819-1EFBD453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460CF-CA41-47B0-A334-23990E2E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2651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2</cp:revision>
  <cp:lastPrinted>2023-07-06T11:16:00Z</cp:lastPrinted>
  <dcterms:created xsi:type="dcterms:W3CDTF">2023-08-16T13:16:00Z</dcterms:created>
  <dcterms:modified xsi:type="dcterms:W3CDTF">2023-08-16T13:16:00Z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