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F569" w14:textId="6838A822" w:rsidR="00886F6C" w:rsidRPr="009871C7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</w:pPr>
      <w:bookmarkStart w:id="0" w:name="_Hlk69647888"/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ZP/</w:t>
      </w:r>
      <w:r w:rsid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84</w:t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/2021                                                                      </w:t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</w:t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                            Załącznik nr 2.</w:t>
      </w:r>
      <w:r w:rsidR="00281DD5"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1</w:t>
      </w:r>
      <w:r w:rsidRPr="009871C7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do SWZ</w:t>
      </w:r>
    </w:p>
    <w:p w14:paraId="6BECCF54" w14:textId="77777777" w:rsidR="00DF5B89" w:rsidRPr="009871C7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</w:p>
    <w:p w14:paraId="3FECE6DF" w14:textId="7D464992" w:rsidR="00DF5B89" w:rsidRPr="009871C7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9871C7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Pakiet I</w:t>
      </w:r>
      <w:r w:rsidR="00BA06C8" w:rsidRPr="009871C7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 xml:space="preserve"> </w:t>
      </w:r>
    </w:p>
    <w:p w14:paraId="02FC3BA1" w14:textId="76DAB8B5" w:rsidR="00886F6C" w:rsidRPr="009871C7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9871C7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Opis przedmiotu zamówienia</w:t>
      </w:r>
    </w:p>
    <w:p w14:paraId="218841D8" w14:textId="4D19B7E5" w:rsidR="00886F6C" w:rsidRPr="00956934" w:rsidRDefault="00956934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color w:val="00B050"/>
          <w:kern w:val="1"/>
          <w:sz w:val="20"/>
          <w:szCs w:val="20"/>
          <w:lang w:eastAsia="hi-IN" w:bidi="hi-IN"/>
        </w:rPr>
      </w:pPr>
      <w:r w:rsidRPr="00956934">
        <w:rPr>
          <w:rFonts w:ascii="Verdana" w:eastAsia="SimSun" w:hAnsi="Verdana"/>
          <w:b/>
          <w:color w:val="00B050"/>
          <w:kern w:val="1"/>
          <w:sz w:val="20"/>
          <w:szCs w:val="20"/>
          <w:lang w:eastAsia="hi-IN" w:bidi="hi-IN"/>
        </w:rPr>
        <w:t>Po modyfikacji</w:t>
      </w:r>
    </w:p>
    <w:p w14:paraId="10AAFB91" w14:textId="0352B159" w:rsidR="00886F6C" w:rsidRPr="009871C7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9871C7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parametry jakościowe</w:t>
      </w:r>
    </w:p>
    <w:p w14:paraId="2CD3710D" w14:textId="77777777" w:rsidR="00D458F7" w:rsidRPr="009871C7" w:rsidRDefault="00D458F7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p w14:paraId="000EE595" w14:textId="760BAC7D" w:rsidR="00CE7868" w:rsidRPr="009871C7" w:rsidRDefault="005100F3" w:rsidP="005100F3">
      <w:pPr>
        <w:tabs>
          <w:tab w:val="left" w:pos="2977"/>
          <w:tab w:val="left" w:pos="7371"/>
        </w:tabs>
        <w:spacing w:after="0" w:line="240" w:lineRule="auto"/>
        <w:ind w:left="284" w:hanging="284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bookmarkStart w:id="1" w:name="_Hlk82515859"/>
      <w:r w:rsidRPr="009871C7">
        <w:rPr>
          <w:rFonts w:ascii="Verdana" w:hAnsi="Verdana" w:cstheme="minorBidi"/>
          <w:b/>
          <w:bCs/>
          <w:i/>
          <w:iCs/>
          <w:sz w:val="20"/>
          <w:szCs w:val="20"/>
        </w:rPr>
        <w:t>Real-</w:t>
      </w:r>
      <w:proofErr w:type="spellStart"/>
      <w:r w:rsidRPr="009871C7">
        <w:rPr>
          <w:rFonts w:ascii="Verdana" w:hAnsi="Verdana" w:cstheme="minorBidi"/>
          <w:b/>
          <w:bCs/>
          <w:i/>
          <w:iCs/>
          <w:sz w:val="20"/>
          <w:szCs w:val="20"/>
        </w:rPr>
        <w:t>time</w:t>
      </w:r>
      <w:proofErr w:type="spellEnd"/>
      <w:r w:rsidRPr="009871C7">
        <w:rPr>
          <w:rFonts w:ascii="Verdana" w:hAnsi="Verdana" w:cstheme="minorBidi"/>
          <w:b/>
          <w:bCs/>
          <w:i/>
          <w:iCs/>
          <w:sz w:val="20"/>
          <w:szCs w:val="20"/>
        </w:rPr>
        <w:t> PCR z wysokorozdzielczym </w:t>
      </w:r>
      <w:proofErr w:type="spellStart"/>
      <w:r w:rsidRPr="009871C7">
        <w:rPr>
          <w:rFonts w:ascii="Verdana" w:hAnsi="Verdana" w:cstheme="minorBidi"/>
          <w:b/>
          <w:bCs/>
          <w:i/>
          <w:iCs/>
          <w:sz w:val="20"/>
          <w:szCs w:val="20"/>
        </w:rPr>
        <w:t>meltingiem</w:t>
      </w:r>
      <w:proofErr w:type="spellEnd"/>
      <w:r w:rsidRPr="009871C7">
        <w:rPr>
          <w:rFonts w:ascii="Verdana" w:hAnsi="Verdana" w:cstheme="minorBidi"/>
          <w:b/>
          <w:bCs/>
          <w:i/>
          <w:iCs/>
          <w:sz w:val="20"/>
          <w:szCs w:val="20"/>
        </w:rPr>
        <w:t>  i modułem odwrotnej transkrypcji– 1 szt.</w:t>
      </w:r>
    </w:p>
    <w:bookmarkEnd w:id="1"/>
    <w:p w14:paraId="2FAA18C5" w14:textId="77777777" w:rsidR="009871C7" w:rsidRPr="009871C7" w:rsidRDefault="009871C7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</w:p>
    <w:p w14:paraId="350DD1CC" w14:textId="2C7C17CF" w:rsidR="003A2393" w:rsidRPr="009871C7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9871C7">
        <w:rPr>
          <w:rFonts w:ascii="Verdana" w:hAnsi="Verdana" w:cstheme="minorHAnsi"/>
          <w:b/>
          <w:sz w:val="20"/>
          <w:szCs w:val="20"/>
        </w:rPr>
        <w:t>Producent …………………………………</w:t>
      </w:r>
    </w:p>
    <w:p w14:paraId="6E364C22" w14:textId="77777777" w:rsidR="003A2393" w:rsidRPr="009871C7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9871C7">
        <w:rPr>
          <w:rFonts w:ascii="Verdana" w:hAnsi="Verdana" w:cstheme="minorHAnsi"/>
          <w:b/>
          <w:sz w:val="20"/>
          <w:szCs w:val="20"/>
        </w:rPr>
        <w:t>Model ……………………………</w:t>
      </w:r>
    </w:p>
    <w:p w14:paraId="3413AA11" w14:textId="77777777" w:rsidR="003A2393" w:rsidRPr="009871C7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HAnsi"/>
          <w:b/>
          <w:sz w:val="20"/>
          <w:szCs w:val="20"/>
        </w:rPr>
      </w:pPr>
      <w:r w:rsidRPr="009871C7">
        <w:rPr>
          <w:rFonts w:ascii="Verdana" w:hAnsi="Verdana" w:cstheme="minorHAnsi"/>
          <w:b/>
          <w:sz w:val="20"/>
          <w:szCs w:val="20"/>
        </w:rPr>
        <w:t>Rok produkcji …………</w:t>
      </w:r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850"/>
        <w:gridCol w:w="6365"/>
        <w:gridCol w:w="1700"/>
        <w:gridCol w:w="1859"/>
      </w:tblGrid>
      <w:tr w:rsidR="00CE7868" w:rsidRPr="009871C7" w14:paraId="1C331DC6" w14:textId="79E84B72" w:rsidTr="00956934">
        <w:tc>
          <w:tcPr>
            <w:tcW w:w="850" w:type="dxa"/>
            <w:vAlign w:val="center"/>
          </w:tcPr>
          <w:bookmarkEnd w:id="0"/>
          <w:p w14:paraId="5E772253" w14:textId="1593509E" w:rsidR="00CE7868" w:rsidRPr="009871C7" w:rsidRDefault="00CE7868" w:rsidP="00CE7868">
            <w:pPr>
              <w:spacing w:after="0" w:line="360" w:lineRule="auto"/>
              <w:ind w:left="11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9871C7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365" w:type="dxa"/>
            <w:vAlign w:val="center"/>
          </w:tcPr>
          <w:p w14:paraId="1B6C9FDF" w14:textId="4498B4B5" w:rsidR="00CE7868" w:rsidRPr="009871C7" w:rsidRDefault="00CE7868" w:rsidP="00CE7868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9871C7">
              <w:rPr>
                <w:rFonts w:ascii="Verdana" w:hAnsi="Verdana" w:cstheme="minorHAnsi"/>
                <w:sz w:val="18"/>
                <w:szCs w:val="18"/>
              </w:rPr>
              <w:t>Parametry jakościowe</w:t>
            </w:r>
          </w:p>
        </w:tc>
        <w:tc>
          <w:tcPr>
            <w:tcW w:w="1700" w:type="dxa"/>
            <w:vAlign w:val="center"/>
          </w:tcPr>
          <w:p w14:paraId="1E1B9DE2" w14:textId="77777777" w:rsidR="00CE7868" w:rsidRPr="009871C7" w:rsidRDefault="00CE7868" w:rsidP="00CE7868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</w:pPr>
            <w:bookmarkStart w:id="2" w:name="_Hlk82515933"/>
            <w:proofErr w:type="spellStart"/>
            <w:r w:rsidRPr="009871C7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Parametry</w:t>
            </w:r>
            <w:proofErr w:type="spellEnd"/>
          </w:p>
          <w:p w14:paraId="1C5FA469" w14:textId="24849DF3" w:rsidR="00CE7868" w:rsidRPr="009871C7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proofErr w:type="spellStart"/>
            <w:r w:rsidRPr="009871C7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graniczne</w:t>
            </w:r>
            <w:proofErr w:type="spellEnd"/>
            <w:r w:rsidRPr="009871C7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871C7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wymagane</w:t>
            </w:r>
            <w:proofErr w:type="spellEnd"/>
            <w:r w:rsidRPr="009871C7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)</w:t>
            </w:r>
            <w:bookmarkEnd w:id="2"/>
          </w:p>
        </w:tc>
        <w:tc>
          <w:tcPr>
            <w:tcW w:w="1859" w:type="dxa"/>
          </w:tcPr>
          <w:p w14:paraId="7AB797EC" w14:textId="77777777" w:rsidR="00CE7868" w:rsidRPr="009871C7" w:rsidRDefault="00CE7868" w:rsidP="00CE7868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871C7">
              <w:rPr>
                <w:rFonts w:ascii="Verdana" w:hAnsi="Verdana" w:cstheme="minorHAnsi"/>
                <w:sz w:val="18"/>
                <w:szCs w:val="18"/>
              </w:rPr>
              <w:t>Parametry Wykonawcy:</w:t>
            </w:r>
          </w:p>
          <w:p w14:paraId="704C30FE" w14:textId="77777777" w:rsidR="00CE7868" w:rsidRPr="009871C7" w:rsidRDefault="00CE7868" w:rsidP="00CE7868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871C7">
              <w:rPr>
                <w:rFonts w:ascii="Verdana" w:hAnsi="Verdana" w:cstheme="minorHAnsi"/>
                <w:sz w:val="18"/>
                <w:szCs w:val="18"/>
              </w:rPr>
              <w:t>TAK/NIE, podać parametr</w:t>
            </w:r>
          </w:p>
          <w:p w14:paraId="5FA34E19" w14:textId="36006EA5" w:rsidR="00CE7868" w:rsidRPr="009871C7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9871C7">
              <w:rPr>
                <w:rFonts w:ascii="Verdana" w:hAnsi="Verdana" w:cstheme="minorHAnsi"/>
                <w:sz w:val="18"/>
                <w:szCs w:val="18"/>
              </w:rPr>
              <w:t>(właściwą odpowiedź zaznaczyć/wpisać)</w:t>
            </w:r>
          </w:p>
        </w:tc>
      </w:tr>
      <w:tr w:rsidR="00956934" w:rsidRPr="00CE7868" w14:paraId="7FE700AC" w14:textId="55C4110B" w:rsidTr="00956934">
        <w:tc>
          <w:tcPr>
            <w:tcW w:w="850" w:type="dxa"/>
            <w:vAlign w:val="center"/>
          </w:tcPr>
          <w:p w14:paraId="54471D55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ind w:left="414" w:hanging="234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473D2915" w14:textId="0A44A50A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Urządzenie umożliwiające przeprowadzanie ilościowej reakcji PCR w czasie rzeczywistym z użyciem barwników fluorescencyjnych</w:t>
            </w:r>
          </w:p>
        </w:tc>
        <w:tc>
          <w:tcPr>
            <w:tcW w:w="1700" w:type="dxa"/>
          </w:tcPr>
          <w:p w14:paraId="105DF75A" w14:textId="75600188" w:rsidR="00956934" w:rsidRPr="00956934" w:rsidRDefault="00956934" w:rsidP="00956934">
            <w:pPr>
              <w:spacing w:after="0" w:line="240" w:lineRule="auto"/>
              <w:ind w:left="360" w:hanging="452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5DCEC496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6C90DE69" w14:textId="6058966B" w:rsidTr="00956934">
        <w:tc>
          <w:tcPr>
            <w:tcW w:w="850" w:type="dxa"/>
            <w:vMerge w:val="restart"/>
            <w:vAlign w:val="center"/>
          </w:tcPr>
          <w:p w14:paraId="5C11C38A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3087651E" w14:textId="534DF22A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 xml:space="preserve">Jednoczesna amplifikacja i detekcja przynajmniej 96 prób na płytkach 96 - dołkowych (białych / przezroczystych) lub paskach / </w:t>
            </w:r>
            <w:proofErr w:type="spellStart"/>
            <w:r w:rsidRPr="00DB2DFE">
              <w:rPr>
                <w:rFonts w:ascii="Verdana" w:hAnsi="Verdana" w:cs="Arial"/>
                <w:lang w:eastAsia="pl-PL"/>
              </w:rPr>
              <w:t>stripach</w:t>
            </w:r>
            <w:proofErr w:type="spellEnd"/>
            <w:r w:rsidRPr="00DB2DFE">
              <w:rPr>
                <w:rFonts w:ascii="Verdana" w:hAnsi="Verdana" w:cs="Arial"/>
                <w:lang w:eastAsia="pl-PL"/>
              </w:rPr>
              <w:t xml:space="preserve"> (po 8 probówek) w przypadku bloku 96 – dołkowego.</w:t>
            </w:r>
          </w:p>
        </w:tc>
        <w:tc>
          <w:tcPr>
            <w:tcW w:w="1700" w:type="dxa"/>
          </w:tcPr>
          <w:p w14:paraId="553EFD86" w14:textId="7F27B8B0" w:rsidR="00956934" w:rsidRPr="00956934" w:rsidRDefault="00956934" w:rsidP="00956934">
            <w:pPr>
              <w:spacing w:after="0" w:line="240" w:lineRule="auto"/>
              <w:ind w:left="360" w:hanging="452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418F5E3D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4D4546" w:rsidRPr="00CE7868" w14:paraId="03D7BC8D" w14:textId="77777777" w:rsidTr="00956934">
        <w:tc>
          <w:tcPr>
            <w:tcW w:w="850" w:type="dxa"/>
            <w:vMerge/>
            <w:vAlign w:val="center"/>
          </w:tcPr>
          <w:p w14:paraId="53DCA89B" w14:textId="77777777" w:rsidR="004D4546" w:rsidRPr="00CE7868" w:rsidRDefault="004D4546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533D3553" w14:textId="423407B0" w:rsidR="004D4546" w:rsidRPr="00DB2DFE" w:rsidRDefault="004D4546" w:rsidP="00DB2DFE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4D4546">
              <w:rPr>
                <w:rFonts w:ascii="Verdana" w:hAnsi="Verdana" w:cs="Arial"/>
                <w:color w:val="FF0000"/>
                <w:lang w:eastAsia="pl-PL"/>
              </w:rPr>
              <w:t>Opcjonalnie: możliwość wymiany na blok 384 dołkowy co pozwala na jednoczesną amplifikacja i detekcja 384 prób na płytkach odpowiednio  384 - dołkowych (białych / przezroczystych)- dodatkowo punktowana</w:t>
            </w:r>
          </w:p>
        </w:tc>
        <w:tc>
          <w:tcPr>
            <w:tcW w:w="3559" w:type="dxa"/>
            <w:gridSpan w:val="2"/>
            <w:vAlign w:val="center"/>
          </w:tcPr>
          <w:p w14:paraId="495CAFF9" w14:textId="6B4625EC" w:rsidR="004D4546" w:rsidRPr="00CE7868" w:rsidRDefault="00182AD6" w:rsidP="004D4546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4D4546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4D4546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4D4546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4D4546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4D4546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4D4546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4D4546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4D4546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956934" w:rsidRPr="00CE7868" w14:paraId="72C4FF02" w14:textId="341F1C0F" w:rsidTr="00C33AAD">
        <w:tc>
          <w:tcPr>
            <w:tcW w:w="850" w:type="dxa"/>
            <w:vAlign w:val="center"/>
          </w:tcPr>
          <w:p w14:paraId="0CB14F18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0FAD237D" w14:textId="64F9E825" w:rsidR="00956934" w:rsidRPr="00DB2DFE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Zakres objętości mieszany reakcyjnej, w której można przeprowadzić reakcję PCR</w:t>
            </w:r>
            <w:r>
              <w:rPr>
                <w:rFonts w:ascii="Verdana" w:hAnsi="Verdana" w:cs="Arial"/>
                <w:lang w:eastAsia="pl-PL"/>
              </w:rPr>
              <w:t xml:space="preserve"> co najmniej</w:t>
            </w:r>
            <w:r w:rsidRPr="00DB2DFE">
              <w:rPr>
                <w:rFonts w:ascii="Verdana" w:hAnsi="Verdana" w:cs="Arial"/>
                <w:lang w:eastAsia="pl-PL"/>
              </w:rPr>
              <w:t>:</w:t>
            </w:r>
          </w:p>
          <w:p w14:paraId="00373B18" w14:textId="77777777" w:rsidR="00956934" w:rsidRPr="00DB2DFE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10 – 100µl dla bloku 96 dołków</w:t>
            </w:r>
          </w:p>
          <w:p w14:paraId="09340365" w14:textId="61E2C289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5 - 20µl dla bloku 384 dołków.</w:t>
            </w:r>
          </w:p>
        </w:tc>
        <w:tc>
          <w:tcPr>
            <w:tcW w:w="1700" w:type="dxa"/>
          </w:tcPr>
          <w:p w14:paraId="2B72EB98" w14:textId="4A260E07" w:rsidR="00956934" w:rsidRPr="00956934" w:rsidRDefault="00956934" w:rsidP="0095693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28843362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2AC39CC8" w14:textId="72B3F876" w:rsidTr="00C33AAD">
        <w:tc>
          <w:tcPr>
            <w:tcW w:w="850" w:type="dxa"/>
            <w:vAlign w:val="center"/>
          </w:tcPr>
          <w:p w14:paraId="0A77D2EF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31E3E12F" w14:textId="28FD36D1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Możliwość samodzielnej wymiany bloków bez utraty parametrów technicznych urządzenia takich jak ilość możliwych do wykorzystania przy analizie kanałów detekcji / wzbudzenia.</w:t>
            </w:r>
          </w:p>
        </w:tc>
        <w:tc>
          <w:tcPr>
            <w:tcW w:w="1700" w:type="dxa"/>
          </w:tcPr>
          <w:p w14:paraId="0E42910F" w14:textId="30F50633" w:rsidR="00956934" w:rsidRPr="00956934" w:rsidRDefault="00956934" w:rsidP="0095693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7D4FBA1A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200967" w:rsidRPr="00CE7868" w14:paraId="0BFC4789" w14:textId="77777777" w:rsidTr="00956934">
        <w:tc>
          <w:tcPr>
            <w:tcW w:w="850" w:type="dxa"/>
            <w:vAlign w:val="center"/>
          </w:tcPr>
          <w:p w14:paraId="00AF1B7E" w14:textId="77777777" w:rsidR="00200967" w:rsidRPr="00CE7868" w:rsidRDefault="00200967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58BE5078" w14:textId="71105159" w:rsidR="00200967" w:rsidRPr="00DB2DFE" w:rsidRDefault="00200967" w:rsidP="00200967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200967">
              <w:rPr>
                <w:rFonts w:ascii="Verdana" w:hAnsi="Verdana" w:cs="Arial"/>
                <w:color w:val="FF0000"/>
                <w:lang w:eastAsia="pl-PL"/>
              </w:rPr>
              <w:t>Opcjonalnie: Urządzenie nie wymaga kalibracji po wymianie bloku – dodatkowo punktowane</w:t>
            </w:r>
          </w:p>
        </w:tc>
        <w:tc>
          <w:tcPr>
            <w:tcW w:w="3559" w:type="dxa"/>
            <w:gridSpan w:val="2"/>
            <w:vAlign w:val="center"/>
          </w:tcPr>
          <w:p w14:paraId="66775B73" w14:textId="44822690" w:rsidR="00200967" w:rsidRPr="00CE7868" w:rsidRDefault="00182AD6" w:rsidP="00200967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200967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200967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200967" w:rsidRPr="00CE7868" w14:paraId="551EE4B0" w14:textId="76A385BB" w:rsidTr="00956934">
        <w:tc>
          <w:tcPr>
            <w:tcW w:w="850" w:type="dxa"/>
            <w:vAlign w:val="center"/>
          </w:tcPr>
          <w:p w14:paraId="2D625E34" w14:textId="77777777" w:rsidR="00200967" w:rsidRPr="00CE7868" w:rsidRDefault="00200967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31C4B78D" w14:textId="6CA27A63" w:rsidR="00200967" w:rsidRPr="00CE7868" w:rsidRDefault="00200967" w:rsidP="00200967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200967">
              <w:rPr>
                <w:rFonts w:ascii="Verdana" w:hAnsi="Verdana" w:cs="Arial"/>
                <w:color w:val="FF0000"/>
                <w:lang w:eastAsia="pl-PL"/>
              </w:rPr>
              <w:t>Opcjonalnie:</w:t>
            </w:r>
            <w:r>
              <w:rPr>
                <w:rFonts w:ascii="Verdana" w:hAnsi="Verdana" w:cs="Arial"/>
                <w:color w:val="FF0000"/>
                <w:lang w:eastAsia="pl-PL"/>
              </w:rPr>
              <w:t xml:space="preserve"> </w:t>
            </w:r>
            <w:r w:rsidRPr="00200967">
              <w:rPr>
                <w:rFonts w:ascii="Verdana" w:hAnsi="Verdana" w:cs="Arial"/>
                <w:color w:val="FF0000"/>
                <w:lang w:eastAsia="pl-PL"/>
              </w:rPr>
              <w:t xml:space="preserve">Urządzenie nie wymagające normalizacji z barwnikiem referencyjnym typu </w:t>
            </w:r>
            <w:proofErr w:type="spellStart"/>
            <w:r w:rsidRPr="00200967">
              <w:rPr>
                <w:rFonts w:ascii="Verdana" w:hAnsi="Verdana" w:cs="Arial"/>
                <w:color w:val="FF0000"/>
                <w:lang w:eastAsia="pl-PL"/>
              </w:rPr>
              <w:t>Rox</w:t>
            </w:r>
            <w:proofErr w:type="spellEnd"/>
            <w:r>
              <w:rPr>
                <w:rFonts w:ascii="Verdana" w:hAnsi="Verdana" w:cs="Arial"/>
                <w:color w:val="FF0000"/>
                <w:lang w:eastAsia="pl-PL"/>
              </w:rPr>
              <w:t>- dodatkowo punktowane</w:t>
            </w:r>
          </w:p>
        </w:tc>
        <w:tc>
          <w:tcPr>
            <w:tcW w:w="3559" w:type="dxa"/>
            <w:gridSpan w:val="2"/>
            <w:vAlign w:val="center"/>
          </w:tcPr>
          <w:p w14:paraId="7A4E54BC" w14:textId="4CF877E9" w:rsidR="00200967" w:rsidRPr="00CE7868" w:rsidRDefault="00182AD6" w:rsidP="00200967">
            <w:pPr>
              <w:spacing w:after="0" w:line="240" w:lineRule="auto"/>
              <w:ind w:left="360" w:hanging="1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200967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200967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956934" w:rsidRPr="00CE7868" w14:paraId="2F299CF8" w14:textId="2A15AF9A" w:rsidTr="008B11A2">
        <w:tc>
          <w:tcPr>
            <w:tcW w:w="850" w:type="dxa"/>
            <w:vAlign w:val="center"/>
          </w:tcPr>
          <w:p w14:paraId="1D381559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0B97AFE8" w14:textId="04B96D25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 xml:space="preserve">Szybkość nagrzewania bloku: do 4,4°C / </w:t>
            </w:r>
            <w:proofErr w:type="spellStart"/>
            <w:r w:rsidRPr="00DB2DFE">
              <w:rPr>
                <w:rFonts w:ascii="Verdana" w:hAnsi="Verdana" w:cs="Arial"/>
                <w:lang w:eastAsia="pl-PL"/>
              </w:rPr>
              <w:t>sek</w:t>
            </w:r>
            <w:proofErr w:type="spellEnd"/>
            <w:r w:rsidRPr="00DB2DFE">
              <w:rPr>
                <w:rFonts w:ascii="Verdana" w:hAnsi="Verdana" w:cs="Arial"/>
                <w:lang w:eastAsia="pl-PL"/>
              </w:rPr>
              <w:t xml:space="preserve"> (dla bloku 96-dołkowego), do 4,8°C / </w:t>
            </w:r>
            <w:proofErr w:type="spellStart"/>
            <w:r w:rsidRPr="00DB2DFE">
              <w:rPr>
                <w:rFonts w:ascii="Verdana" w:hAnsi="Verdana" w:cs="Arial"/>
                <w:lang w:eastAsia="pl-PL"/>
              </w:rPr>
              <w:t>sek</w:t>
            </w:r>
            <w:proofErr w:type="spellEnd"/>
            <w:r w:rsidRPr="00DB2DFE">
              <w:rPr>
                <w:rFonts w:ascii="Verdana" w:hAnsi="Verdana" w:cs="Arial"/>
                <w:lang w:eastAsia="pl-PL"/>
              </w:rPr>
              <w:t xml:space="preserve"> (dla bloku 384-dołkowego)</w:t>
            </w:r>
          </w:p>
        </w:tc>
        <w:tc>
          <w:tcPr>
            <w:tcW w:w="1700" w:type="dxa"/>
          </w:tcPr>
          <w:p w14:paraId="55441013" w14:textId="2F81797A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1CFE71CD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6B78F0F6" w14:textId="68608A8E" w:rsidTr="008B11A2">
        <w:tc>
          <w:tcPr>
            <w:tcW w:w="850" w:type="dxa"/>
            <w:vAlign w:val="center"/>
          </w:tcPr>
          <w:p w14:paraId="6A77976E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08F93FCA" w14:textId="505C48A9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 xml:space="preserve">Szybkość chłodzenia bloku: do 2,2°C / </w:t>
            </w:r>
            <w:proofErr w:type="spellStart"/>
            <w:r w:rsidRPr="00DB2DFE">
              <w:rPr>
                <w:rFonts w:ascii="Verdana" w:hAnsi="Verdana" w:cs="Arial"/>
                <w:lang w:eastAsia="pl-PL"/>
              </w:rPr>
              <w:t>sek</w:t>
            </w:r>
            <w:proofErr w:type="spellEnd"/>
            <w:r w:rsidRPr="00DB2DFE">
              <w:rPr>
                <w:rFonts w:ascii="Verdana" w:hAnsi="Verdana" w:cs="Arial"/>
                <w:lang w:eastAsia="pl-PL"/>
              </w:rPr>
              <w:t xml:space="preserve"> (dla bloku 96-dołkowego), do 2,5°C / </w:t>
            </w:r>
            <w:proofErr w:type="spellStart"/>
            <w:r w:rsidRPr="00DB2DFE">
              <w:rPr>
                <w:rFonts w:ascii="Verdana" w:hAnsi="Verdana" w:cs="Arial"/>
                <w:lang w:eastAsia="pl-PL"/>
              </w:rPr>
              <w:t>sek</w:t>
            </w:r>
            <w:proofErr w:type="spellEnd"/>
            <w:r w:rsidRPr="00DB2DFE">
              <w:rPr>
                <w:rFonts w:ascii="Verdana" w:hAnsi="Verdana" w:cs="Arial"/>
                <w:lang w:eastAsia="pl-PL"/>
              </w:rPr>
              <w:t xml:space="preserve"> (dla bloku 384- dołkowego)</w:t>
            </w:r>
          </w:p>
        </w:tc>
        <w:tc>
          <w:tcPr>
            <w:tcW w:w="1700" w:type="dxa"/>
          </w:tcPr>
          <w:p w14:paraId="5D10E047" w14:textId="151E0315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5AB0558E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62867B28" w14:textId="39CF1EF9" w:rsidTr="008B11A2">
        <w:tc>
          <w:tcPr>
            <w:tcW w:w="850" w:type="dxa"/>
            <w:vMerge w:val="restart"/>
            <w:vAlign w:val="center"/>
          </w:tcPr>
          <w:p w14:paraId="19C10029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1C2FE2DD" w14:textId="3AA01C72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Materiał z jakiego wykonany jest blok aluminium</w:t>
            </w:r>
          </w:p>
        </w:tc>
        <w:tc>
          <w:tcPr>
            <w:tcW w:w="1700" w:type="dxa"/>
          </w:tcPr>
          <w:p w14:paraId="741EF413" w14:textId="3B68F43A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59E40FFF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200967" w:rsidRPr="00CE7868" w14:paraId="7F7C0849" w14:textId="77777777" w:rsidTr="00956934">
        <w:tc>
          <w:tcPr>
            <w:tcW w:w="850" w:type="dxa"/>
            <w:vMerge/>
            <w:vAlign w:val="center"/>
          </w:tcPr>
          <w:p w14:paraId="5FA519FC" w14:textId="77777777" w:rsidR="00200967" w:rsidRPr="00CE7868" w:rsidRDefault="00200967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5BE2C172" w14:textId="5A884B9B" w:rsidR="00200967" w:rsidRPr="00DB2DFE" w:rsidRDefault="00200967" w:rsidP="00CE7868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200967">
              <w:rPr>
                <w:rFonts w:ascii="Verdana" w:hAnsi="Verdana" w:cs="Arial"/>
                <w:color w:val="FF0000"/>
                <w:lang w:eastAsia="pl-PL"/>
              </w:rPr>
              <w:t>Opcjonalnie:</w:t>
            </w:r>
            <w:r>
              <w:rPr>
                <w:rFonts w:ascii="Verdana" w:hAnsi="Verdana" w:cs="Arial"/>
                <w:color w:val="FF0000"/>
                <w:lang w:eastAsia="pl-PL"/>
              </w:rPr>
              <w:t xml:space="preserve"> </w:t>
            </w:r>
            <w:r w:rsidRPr="00200967">
              <w:rPr>
                <w:rFonts w:ascii="Verdana" w:hAnsi="Verdana" w:cs="Arial"/>
                <w:color w:val="FF0000"/>
                <w:lang w:eastAsia="pl-PL"/>
              </w:rPr>
              <w:t>Materiał z jakiego wykonany jest blok</w:t>
            </w:r>
            <w:r>
              <w:rPr>
                <w:rFonts w:ascii="Verdana" w:hAnsi="Verdana" w:cs="Arial"/>
                <w:color w:val="FF0000"/>
                <w:lang w:eastAsia="pl-PL"/>
              </w:rPr>
              <w:t>- srebro</w:t>
            </w:r>
            <w:r w:rsidRPr="00200967">
              <w:rPr>
                <w:rFonts w:ascii="Verdana" w:hAnsi="Verdana" w:cs="Arial"/>
                <w:color w:val="FF0000"/>
                <w:lang w:eastAsia="pl-PL"/>
              </w:rPr>
              <w:t xml:space="preserve"> </w:t>
            </w:r>
            <w:r>
              <w:rPr>
                <w:rFonts w:ascii="Verdana" w:hAnsi="Verdana" w:cs="Arial"/>
                <w:color w:val="FF0000"/>
                <w:lang w:eastAsia="pl-PL"/>
              </w:rPr>
              <w:t>- dodatkowo punktowane</w:t>
            </w:r>
          </w:p>
        </w:tc>
        <w:tc>
          <w:tcPr>
            <w:tcW w:w="3559" w:type="dxa"/>
            <w:gridSpan w:val="2"/>
            <w:vAlign w:val="center"/>
          </w:tcPr>
          <w:p w14:paraId="74ABD7A0" w14:textId="7AE0F1F9" w:rsidR="00200967" w:rsidRPr="00CE7868" w:rsidRDefault="00182AD6" w:rsidP="00200967">
            <w:pPr>
              <w:spacing w:after="0" w:line="240" w:lineRule="auto"/>
              <w:ind w:left="360" w:hanging="321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200967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200967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200967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956934" w:rsidRPr="00CE7868" w14:paraId="3C4CBF5A" w14:textId="1D4685CD" w:rsidTr="0085210F">
        <w:tc>
          <w:tcPr>
            <w:tcW w:w="850" w:type="dxa"/>
            <w:vAlign w:val="center"/>
          </w:tcPr>
          <w:p w14:paraId="5C2F89EB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0D62E1CF" w14:textId="2B70065A" w:rsidR="00956934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DB2DFE">
              <w:rPr>
                <w:rFonts w:ascii="Verdana" w:hAnsi="Verdana" w:cs="Arial"/>
                <w:lang w:eastAsia="pl-PL"/>
              </w:rPr>
              <w:t>Bloki (96) wyposażon</w:t>
            </w:r>
            <w:r>
              <w:rPr>
                <w:rFonts w:ascii="Verdana" w:hAnsi="Verdana" w:cs="Arial"/>
                <w:lang w:eastAsia="pl-PL"/>
              </w:rPr>
              <w:t>e</w:t>
            </w:r>
            <w:r w:rsidRPr="00DB2DFE">
              <w:rPr>
                <w:rFonts w:ascii="Verdana" w:hAnsi="Verdana" w:cs="Arial"/>
                <w:lang w:eastAsia="pl-PL"/>
              </w:rPr>
              <w:t xml:space="preserve"> w:</w:t>
            </w:r>
          </w:p>
          <w:p w14:paraId="78FC44FD" w14:textId="77777777" w:rsidR="00956934" w:rsidRPr="0016454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podstawę płytki</w:t>
            </w:r>
          </w:p>
          <w:p w14:paraId="00EF94FA" w14:textId="77777777" w:rsidR="00956934" w:rsidRPr="0016454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elementy </w:t>
            </w:r>
            <w:proofErr w:type="spellStart"/>
            <w:r w:rsidRPr="0016454B">
              <w:rPr>
                <w:rFonts w:ascii="Verdana" w:hAnsi="Verdana" w:cs="Arial"/>
                <w:lang w:eastAsia="pl-PL"/>
              </w:rPr>
              <w:t>Peltiera</w:t>
            </w:r>
            <w:proofErr w:type="spellEnd"/>
            <w:r w:rsidRPr="0016454B">
              <w:rPr>
                <w:rFonts w:ascii="Verdana" w:hAnsi="Verdana" w:cs="Arial"/>
                <w:lang w:eastAsia="pl-PL"/>
              </w:rPr>
              <w:t xml:space="preserve"> (6 sztuk)</w:t>
            </w:r>
          </w:p>
          <w:p w14:paraId="0232E010" w14:textId="77777777" w:rsidR="00956934" w:rsidRPr="0016454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element chłodzący</w:t>
            </w:r>
          </w:p>
          <w:p w14:paraId="26CAD4CA" w14:textId="74CA83DA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korektor cieplny zapewniający wydajne i równomierne przenikanie ciepła (wysoką homogenność bloku) – warstwa </w:t>
            </w:r>
            <w:proofErr w:type="spellStart"/>
            <w:r w:rsidRPr="0016454B">
              <w:rPr>
                <w:rFonts w:ascii="Verdana" w:hAnsi="Verdana" w:cs="Arial"/>
                <w:lang w:eastAsia="pl-PL"/>
              </w:rPr>
              <w:t>Therma</w:t>
            </w:r>
            <w:proofErr w:type="spellEnd"/>
            <w:r w:rsidRPr="0016454B">
              <w:rPr>
                <w:rFonts w:ascii="Verdana" w:hAnsi="Verdana" w:cs="Arial"/>
                <w:lang w:eastAsia="pl-PL"/>
              </w:rPr>
              <w:t>-Base</w:t>
            </w:r>
          </w:p>
        </w:tc>
        <w:tc>
          <w:tcPr>
            <w:tcW w:w="1700" w:type="dxa"/>
          </w:tcPr>
          <w:p w14:paraId="4E5209BF" w14:textId="65204954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3587CCFC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73319095" w14:textId="35CFAC46" w:rsidTr="0085210F">
        <w:tc>
          <w:tcPr>
            <w:tcW w:w="850" w:type="dxa"/>
            <w:vAlign w:val="center"/>
          </w:tcPr>
          <w:p w14:paraId="6755A6CD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5BECEEC5" w14:textId="3E27DA63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Zakres temperatur bloku: </w:t>
            </w:r>
            <w:r>
              <w:rPr>
                <w:rFonts w:ascii="Verdana" w:hAnsi="Verdana" w:cs="Arial"/>
                <w:lang w:eastAsia="pl-PL"/>
              </w:rPr>
              <w:t xml:space="preserve">co najmniej </w:t>
            </w:r>
            <w:r w:rsidRPr="0016454B">
              <w:rPr>
                <w:rFonts w:ascii="Verdana" w:hAnsi="Verdana" w:cs="Arial"/>
                <w:lang w:eastAsia="pl-PL"/>
              </w:rPr>
              <w:t>37 - 95°C</w:t>
            </w:r>
          </w:p>
        </w:tc>
        <w:tc>
          <w:tcPr>
            <w:tcW w:w="1700" w:type="dxa"/>
          </w:tcPr>
          <w:p w14:paraId="2B90F5C7" w14:textId="22AA18CC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7B10D344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1EB137C3" w14:textId="4F85CFBD" w:rsidTr="0085210F">
        <w:tc>
          <w:tcPr>
            <w:tcW w:w="850" w:type="dxa"/>
            <w:vAlign w:val="center"/>
          </w:tcPr>
          <w:p w14:paraId="4F84944C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2C39FE4E" w14:textId="253869ED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Możliwość przeprowadzenia krzywej topnienia w zakresie </w:t>
            </w:r>
            <w:r>
              <w:rPr>
                <w:rFonts w:ascii="Verdana" w:hAnsi="Verdana" w:cs="Arial"/>
                <w:lang w:eastAsia="pl-PL"/>
              </w:rPr>
              <w:t xml:space="preserve">co najmniej </w:t>
            </w:r>
            <w:r w:rsidRPr="0016454B">
              <w:rPr>
                <w:rFonts w:ascii="Verdana" w:hAnsi="Verdana" w:cs="Arial"/>
                <w:lang w:eastAsia="pl-PL"/>
              </w:rPr>
              <w:t>20 - 95°C</w:t>
            </w:r>
          </w:p>
        </w:tc>
        <w:tc>
          <w:tcPr>
            <w:tcW w:w="1700" w:type="dxa"/>
          </w:tcPr>
          <w:p w14:paraId="47DDAFE1" w14:textId="7286188E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5B7F5F33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520215FD" w14:textId="407403B0" w:rsidTr="0085210F">
        <w:tc>
          <w:tcPr>
            <w:tcW w:w="850" w:type="dxa"/>
            <w:vAlign w:val="center"/>
          </w:tcPr>
          <w:p w14:paraId="0FB4F255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2BC16D17" w14:textId="434E7671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Homogenność termiczna bloku</w:t>
            </w:r>
            <w:r>
              <w:rPr>
                <w:rFonts w:ascii="Verdana" w:hAnsi="Verdana" w:cs="Arial"/>
                <w:lang w:eastAsia="pl-PL"/>
              </w:rPr>
              <w:t xml:space="preserve"> nie gorsza niż</w:t>
            </w:r>
            <w:r w:rsidRPr="0016454B">
              <w:rPr>
                <w:rFonts w:ascii="Verdana" w:hAnsi="Verdana" w:cs="Arial"/>
                <w:lang w:eastAsia="pl-PL"/>
              </w:rPr>
              <w:t>: ±0,4°C w ciągu 60 sekund od momentu osiągnięcia temperatury docelowej (72°C)</w:t>
            </w:r>
          </w:p>
        </w:tc>
        <w:tc>
          <w:tcPr>
            <w:tcW w:w="1700" w:type="dxa"/>
          </w:tcPr>
          <w:p w14:paraId="3682C666" w14:textId="1D69069C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3DBE60D0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32A971BF" w14:textId="4B94D84A" w:rsidTr="0085210F">
        <w:tc>
          <w:tcPr>
            <w:tcW w:w="850" w:type="dxa"/>
            <w:vMerge w:val="restart"/>
            <w:vAlign w:val="center"/>
          </w:tcPr>
          <w:p w14:paraId="35126A12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241A2459" w14:textId="71574008" w:rsidR="00956934" w:rsidRPr="0016454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Dokładność termiczna bloku</w:t>
            </w:r>
            <w:r>
              <w:rPr>
                <w:rFonts w:ascii="Verdana" w:hAnsi="Verdana" w:cs="Arial"/>
                <w:lang w:eastAsia="pl-PL"/>
              </w:rPr>
              <w:t xml:space="preserve"> nie gorsza niż</w:t>
            </w:r>
            <w:r w:rsidRPr="0016454B">
              <w:rPr>
                <w:rFonts w:ascii="Verdana" w:hAnsi="Verdana" w:cs="Arial"/>
                <w:lang w:eastAsia="pl-PL"/>
              </w:rPr>
              <w:t>:</w:t>
            </w:r>
          </w:p>
          <w:p w14:paraId="1E7C023E" w14:textId="19F1400D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±0,3°C w ciągu 10 sekund od momentu osiągnięcia temperatury docelowej (55°C - 95°C)</w:t>
            </w:r>
          </w:p>
        </w:tc>
        <w:tc>
          <w:tcPr>
            <w:tcW w:w="1700" w:type="dxa"/>
          </w:tcPr>
          <w:p w14:paraId="166EC5DD" w14:textId="612F4E6F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283A68B9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5E35B38C" w14:textId="77777777" w:rsidTr="0085210F">
        <w:tc>
          <w:tcPr>
            <w:tcW w:w="850" w:type="dxa"/>
            <w:vMerge/>
            <w:vAlign w:val="center"/>
          </w:tcPr>
          <w:p w14:paraId="710B07C2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4F358999" w14:textId="151E4B2C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±0,2°C w ciągu 60 sekund od momentu osiągnięcia temperatury docelowej (55°C - 95°C)</w:t>
            </w:r>
          </w:p>
        </w:tc>
        <w:tc>
          <w:tcPr>
            <w:tcW w:w="1700" w:type="dxa"/>
          </w:tcPr>
          <w:p w14:paraId="53EC909E" w14:textId="6EE0E844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3574D5AA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291ADA09" w14:textId="77777777" w:rsidTr="0085210F">
        <w:tc>
          <w:tcPr>
            <w:tcW w:w="850" w:type="dxa"/>
            <w:vAlign w:val="center"/>
          </w:tcPr>
          <w:p w14:paraId="4D35E510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568CB3D1" w14:textId="77777777" w:rsidR="00956934" w:rsidRPr="0016454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System detekcyjny – kamera CCD wysokiej czułości, umożliwiająca jednoczesny odczyt wszystkich analizowanych prób.</w:t>
            </w:r>
          </w:p>
          <w:p w14:paraId="27A18389" w14:textId="0787B4FF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czas pomiaru fluorescencji wszystkich prób przez kamerę CCD w trybie dynamicznym lub manualnym, w zakresie </w:t>
            </w:r>
            <w:r>
              <w:rPr>
                <w:rFonts w:ascii="Verdana" w:hAnsi="Verdana" w:cs="Arial"/>
                <w:lang w:eastAsia="pl-PL"/>
              </w:rPr>
              <w:t xml:space="preserve">co najmniej </w:t>
            </w:r>
            <w:r w:rsidRPr="0016454B">
              <w:rPr>
                <w:rFonts w:ascii="Verdana" w:hAnsi="Verdana" w:cs="Arial"/>
                <w:lang w:eastAsia="pl-PL"/>
              </w:rPr>
              <w:t xml:space="preserve">10 </w:t>
            </w:r>
            <w:proofErr w:type="spellStart"/>
            <w:r w:rsidRPr="0016454B">
              <w:rPr>
                <w:rFonts w:ascii="Verdana" w:hAnsi="Verdana" w:cs="Arial"/>
                <w:lang w:eastAsia="pl-PL"/>
              </w:rPr>
              <w:t>msek</w:t>
            </w:r>
            <w:proofErr w:type="spellEnd"/>
            <w:r w:rsidRPr="0016454B">
              <w:rPr>
                <w:rFonts w:ascii="Verdana" w:hAnsi="Verdana" w:cs="Arial"/>
                <w:lang w:eastAsia="pl-PL"/>
              </w:rPr>
              <w:t>. do 10 sek.</w:t>
            </w:r>
          </w:p>
        </w:tc>
        <w:tc>
          <w:tcPr>
            <w:tcW w:w="1700" w:type="dxa"/>
          </w:tcPr>
          <w:p w14:paraId="7A3FE7BF" w14:textId="453B60C7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00AA8772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72C7A4BF" w14:textId="77777777" w:rsidTr="0085210F">
        <w:tc>
          <w:tcPr>
            <w:tcW w:w="850" w:type="dxa"/>
            <w:vAlign w:val="center"/>
          </w:tcPr>
          <w:p w14:paraId="062B58E6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47FE356D" w14:textId="2FDFF11D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Co najmniej </w:t>
            </w:r>
            <w:r w:rsidRPr="0016454B">
              <w:rPr>
                <w:rFonts w:ascii="Verdana" w:hAnsi="Verdana" w:cs="Arial"/>
                <w:lang w:eastAsia="pl-PL"/>
              </w:rPr>
              <w:t>5 kanałów wzbudzenia światła</w:t>
            </w:r>
          </w:p>
        </w:tc>
        <w:tc>
          <w:tcPr>
            <w:tcW w:w="1700" w:type="dxa"/>
          </w:tcPr>
          <w:p w14:paraId="7E546BD3" w14:textId="11FC97AD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07B98247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6D6D1BDA" w14:textId="77777777" w:rsidTr="0085210F">
        <w:tc>
          <w:tcPr>
            <w:tcW w:w="850" w:type="dxa"/>
            <w:vAlign w:val="center"/>
          </w:tcPr>
          <w:p w14:paraId="7008341C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05C418C7" w14:textId="7F74FF59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Co najmniej </w:t>
            </w:r>
            <w:r w:rsidRPr="0016454B">
              <w:rPr>
                <w:rFonts w:ascii="Verdana" w:hAnsi="Verdana" w:cs="Arial"/>
                <w:lang w:eastAsia="pl-PL"/>
              </w:rPr>
              <w:t>6 kanałów detekcji fluorescencji</w:t>
            </w:r>
          </w:p>
        </w:tc>
        <w:tc>
          <w:tcPr>
            <w:tcW w:w="1700" w:type="dxa"/>
          </w:tcPr>
          <w:p w14:paraId="4EF72E7C" w14:textId="2253721C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7BBF1A9E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493764D3" w14:textId="77777777" w:rsidTr="0085210F">
        <w:tc>
          <w:tcPr>
            <w:tcW w:w="850" w:type="dxa"/>
            <w:vAlign w:val="center"/>
          </w:tcPr>
          <w:p w14:paraId="0DD26F29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5CFF4033" w14:textId="0B828200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Możliwość elastycznego doboru filtrów wzbudzania/emisji</w:t>
            </w:r>
          </w:p>
        </w:tc>
        <w:tc>
          <w:tcPr>
            <w:tcW w:w="1700" w:type="dxa"/>
          </w:tcPr>
          <w:p w14:paraId="474EC93B" w14:textId="764D60BA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348ABB12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4105BF1E" w14:textId="77777777" w:rsidTr="0085210F">
        <w:tc>
          <w:tcPr>
            <w:tcW w:w="850" w:type="dxa"/>
            <w:vAlign w:val="center"/>
          </w:tcPr>
          <w:p w14:paraId="6D23D0D6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120F87F3" w14:textId="71DA9A1B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Element wzbudzający – pojedyncza dioda LED umożliwiająca jednoczesne wzbudzenie wszystkich prób</w:t>
            </w:r>
          </w:p>
        </w:tc>
        <w:tc>
          <w:tcPr>
            <w:tcW w:w="1700" w:type="dxa"/>
          </w:tcPr>
          <w:p w14:paraId="78DF1F75" w14:textId="1184C77E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22C6D5D3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2086D797" w14:textId="77777777" w:rsidTr="0085210F">
        <w:tc>
          <w:tcPr>
            <w:tcW w:w="850" w:type="dxa"/>
            <w:vAlign w:val="center"/>
          </w:tcPr>
          <w:p w14:paraId="1481B5F9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4F2EBD4A" w14:textId="42CC1C9B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System wzbudzania/detekcji umożliwiający oświetlenie wszystkich dołków w ten sam sposób (pod tym samym kątem). Brak efektu brzegowego.</w:t>
            </w:r>
          </w:p>
        </w:tc>
        <w:tc>
          <w:tcPr>
            <w:tcW w:w="1700" w:type="dxa"/>
          </w:tcPr>
          <w:p w14:paraId="4F20A3B0" w14:textId="2DE5F36F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32346EAE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63B1B75A" w14:textId="77777777" w:rsidTr="0085210F">
        <w:tc>
          <w:tcPr>
            <w:tcW w:w="850" w:type="dxa"/>
            <w:vAlign w:val="center"/>
          </w:tcPr>
          <w:p w14:paraId="70096F2E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34FB21CF" w14:textId="6CABF4A0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Średnie STD powtórzeń dla punktów w zakresie stężeń 1-10E9 równy mniej niż 0.2 </w:t>
            </w:r>
            <w:proofErr w:type="spellStart"/>
            <w:r w:rsidRPr="0016454B">
              <w:rPr>
                <w:rFonts w:ascii="Verdana" w:hAnsi="Verdana" w:cs="Arial"/>
                <w:lang w:eastAsia="pl-PL"/>
              </w:rPr>
              <w:t>Cq</w:t>
            </w:r>
            <w:proofErr w:type="spellEnd"/>
          </w:p>
        </w:tc>
        <w:tc>
          <w:tcPr>
            <w:tcW w:w="1700" w:type="dxa"/>
          </w:tcPr>
          <w:p w14:paraId="214CE3D5" w14:textId="69B8A7D0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1DCD2FDB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6A83903A" w14:textId="77777777" w:rsidTr="0085210F">
        <w:tc>
          <w:tcPr>
            <w:tcW w:w="850" w:type="dxa"/>
            <w:vAlign w:val="center"/>
          </w:tcPr>
          <w:p w14:paraId="33D3ECE2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6433773C" w14:textId="0270C52E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Urządzenie wyposażone w wewnętrzny czytnik kodów kreskowych</w:t>
            </w:r>
          </w:p>
        </w:tc>
        <w:tc>
          <w:tcPr>
            <w:tcW w:w="1700" w:type="dxa"/>
          </w:tcPr>
          <w:p w14:paraId="25723089" w14:textId="6C0AC322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28BCB54A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09FA8619" w14:textId="77777777" w:rsidTr="0085210F">
        <w:tc>
          <w:tcPr>
            <w:tcW w:w="850" w:type="dxa"/>
            <w:vMerge w:val="restart"/>
            <w:vAlign w:val="center"/>
          </w:tcPr>
          <w:p w14:paraId="5440F1B0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4501C2C0" w14:textId="77777777" w:rsidR="00956934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System, umożliwiający analizę kwasów nukleinowych przynajmniej przy pomocy barwników i sond molekularnych:</w:t>
            </w:r>
          </w:p>
          <w:p w14:paraId="5FB31EDA" w14:textId="77777777" w:rsidR="00956934" w:rsidRPr="0016454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>SYBR Green I</w:t>
            </w:r>
          </w:p>
          <w:p w14:paraId="5A84C700" w14:textId="094379B1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6454B">
              <w:rPr>
                <w:rFonts w:ascii="Verdana" w:hAnsi="Verdana" w:cs="Arial"/>
                <w:lang w:eastAsia="pl-PL"/>
              </w:rPr>
              <w:t xml:space="preserve">Sonda hydrolizująca typu </w:t>
            </w:r>
            <w:proofErr w:type="spellStart"/>
            <w:r w:rsidRPr="0016454B">
              <w:rPr>
                <w:rFonts w:ascii="Verdana" w:hAnsi="Verdana" w:cs="Arial"/>
                <w:lang w:eastAsia="pl-PL"/>
              </w:rPr>
              <w:t>TaqMan</w:t>
            </w:r>
            <w:proofErr w:type="spellEnd"/>
          </w:p>
        </w:tc>
        <w:tc>
          <w:tcPr>
            <w:tcW w:w="1700" w:type="dxa"/>
          </w:tcPr>
          <w:p w14:paraId="32D33194" w14:textId="73ECD0C1" w:rsidR="00956934" w:rsidRPr="00956934" w:rsidRDefault="00956934" w:rsidP="00956934">
            <w:pPr>
              <w:spacing w:after="0" w:line="240" w:lineRule="auto"/>
              <w:ind w:left="360" w:firstLine="257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6B21C7CA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B8782D" w:rsidRPr="00CE7868" w14:paraId="37CAE58F" w14:textId="77777777" w:rsidTr="00956934">
        <w:tc>
          <w:tcPr>
            <w:tcW w:w="850" w:type="dxa"/>
            <w:vMerge/>
            <w:vAlign w:val="center"/>
          </w:tcPr>
          <w:p w14:paraId="74C67DD9" w14:textId="77777777" w:rsidR="00B8782D" w:rsidRPr="00CE7868" w:rsidRDefault="00B8782D" w:rsidP="00CE7868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0D3E3DFD" w14:textId="77777777" w:rsidR="00B8782D" w:rsidRPr="00B8782D" w:rsidRDefault="00B8782D" w:rsidP="00B8782D">
            <w:pPr>
              <w:spacing w:after="0" w:line="240" w:lineRule="auto"/>
              <w:rPr>
                <w:rFonts w:ascii="Verdana" w:hAnsi="Verdana" w:cs="Arial"/>
                <w:color w:val="FF0000"/>
                <w:lang w:eastAsia="pl-PL"/>
              </w:rPr>
            </w:pPr>
            <w:r w:rsidRPr="00B8782D">
              <w:rPr>
                <w:rFonts w:ascii="Verdana" w:hAnsi="Verdana" w:cs="Arial"/>
                <w:color w:val="FF0000"/>
                <w:lang w:eastAsia="pl-PL"/>
              </w:rPr>
              <w:t xml:space="preserve">Opcjonalnie: </w:t>
            </w:r>
            <w:r w:rsidRPr="00B8782D">
              <w:rPr>
                <w:rFonts w:ascii="Verdana" w:hAnsi="Verdana" w:cs="Arial"/>
                <w:color w:val="FF0000"/>
              </w:rPr>
              <w:t xml:space="preserve">Barwnik </w:t>
            </w:r>
            <w:proofErr w:type="spellStart"/>
            <w:r w:rsidRPr="00B8782D">
              <w:rPr>
                <w:rFonts w:ascii="Verdana" w:hAnsi="Verdana" w:cs="Arial"/>
                <w:color w:val="FF0000"/>
              </w:rPr>
              <w:t>interkalujący</w:t>
            </w:r>
            <w:proofErr w:type="spellEnd"/>
            <w:r w:rsidRPr="00B8782D">
              <w:rPr>
                <w:rFonts w:ascii="Verdana" w:hAnsi="Verdana" w:cs="Arial"/>
                <w:color w:val="FF0000"/>
              </w:rPr>
              <w:t xml:space="preserve"> typu LC Green (lub podobny) do analizy HRM (High Resolution </w:t>
            </w:r>
            <w:proofErr w:type="spellStart"/>
            <w:r w:rsidRPr="00B8782D">
              <w:rPr>
                <w:rFonts w:ascii="Verdana" w:hAnsi="Verdana" w:cs="Arial"/>
                <w:color w:val="FF0000"/>
              </w:rPr>
              <w:t>Melting</w:t>
            </w:r>
            <w:proofErr w:type="spellEnd"/>
            <w:r w:rsidRPr="00B8782D">
              <w:rPr>
                <w:rFonts w:ascii="Verdana" w:hAnsi="Verdana" w:cs="Arial"/>
                <w:color w:val="FF0000"/>
              </w:rPr>
              <w:t>)</w:t>
            </w:r>
          </w:p>
          <w:p w14:paraId="6AB76918" w14:textId="1B725BF3" w:rsidR="00B8782D" w:rsidRPr="00B8782D" w:rsidRDefault="00B8782D" w:rsidP="0014380A">
            <w:pPr>
              <w:numPr>
                <w:ilvl w:val="0"/>
                <w:numId w:val="60"/>
              </w:numPr>
              <w:spacing w:after="0" w:line="240" w:lineRule="auto"/>
              <w:rPr>
                <w:rFonts w:ascii="Verdana" w:hAnsi="Verdana" w:cs="Arial"/>
                <w:color w:val="FF0000"/>
                <w:lang w:eastAsia="pl-PL"/>
              </w:rPr>
            </w:pPr>
            <w:r w:rsidRPr="00B8782D">
              <w:rPr>
                <w:rFonts w:ascii="Verdana" w:hAnsi="Verdana" w:cs="Arial"/>
                <w:color w:val="FF0000"/>
                <w:lang w:eastAsia="pl-PL"/>
              </w:rPr>
              <w:t xml:space="preserve">Sonda Hybrydyzująca typu </w:t>
            </w:r>
            <w:proofErr w:type="spellStart"/>
            <w:r w:rsidRPr="00B8782D">
              <w:rPr>
                <w:rFonts w:ascii="Verdana" w:hAnsi="Verdana" w:cs="Arial"/>
                <w:color w:val="FF0000"/>
                <w:lang w:eastAsia="pl-PL"/>
              </w:rPr>
              <w:t>HybProbe</w:t>
            </w:r>
            <w:proofErr w:type="spellEnd"/>
          </w:p>
          <w:p w14:paraId="7DD6F6F3" w14:textId="27556EF3" w:rsidR="00B8782D" w:rsidRPr="0016454B" w:rsidRDefault="00B8782D" w:rsidP="00B8782D">
            <w:pPr>
              <w:numPr>
                <w:ilvl w:val="0"/>
                <w:numId w:val="60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  <w:r w:rsidRPr="00B8782D">
              <w:rPr>
                <w:rFonts w:ascii="Verdana" w:hAnsi="Verdana" w:cs="Arial"/>
                <w:color w:val="FF0000"/>
                <w:lang w:eastAsia="pl-PL"/>
              </w:rPr>
              <w:t xml:space="preserve">Sonda Simple </w:t>
            </w:r>
            <w:proofErr w:type="spellStart"/>
            <w:r w:rsidRPr="00B8782D">
              <w:rPr>
                <w:rFonts w:ascii="Verdana" w:hAnsi="Verdana" w:cs="Arial"/>
                <w:color w:val="FF0000"/>
                <w:lang w:eastAsia="pl-PL"/>
              </w:rPr>
              <w:t>Probe</w:t>
            </w:r>
            <w:proofErr w:type="spellEnd"/>
          </w:p>
        </w:tc>
        <w:tc>
          <w:tcPr>
            <w:tcW w:w="3559" w:type="dxa"/>
            <w:gridSpan w:val="2"/>
            <w:vAlign w:val="center"/>
          </w:tcPr>
          <w:p w14:paraId="59CA0FBF" w14:textId="379F864B" w:rsidR="00B8782D" w:rsidRPr="00CE7868" w:rsidRDefault="00182AD6" w:rsidP="00B8782D">
            <w:pPr>
              <w:spacing w:after="0" w:line="240" w:lineRule="auto"/>
              <w:ind w:left="360" w:hanging="321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B8782D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B8782D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B8782D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B8782D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B8782D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B8782D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B8782D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B8782D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956934" w:rsidRPr="00CE7868" w14:paraId="52949177" w14:textId="77777777" w:rsidTr="00D552C1">
        <w:tc>
          <w:tcPr>
            <w:tcW w:w="850" w:type="dxa"/>
            <w:vMerge w:val="restart"/>
            <w:vAlign w:val="center"/>
          </w:tcPr>
          <w:p w14:paraId="43B70C1F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6058D495" w14:textId="437077A5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Oprogramowanie urządzenia umożliwia</w:t>
            </w:r>
            <w:r w:rsidRPr="00734C74">
              <w:rPr>
                <w:rFonts w:ascii="Verdana" w:hAnsi="Verdana"/>
                <w:spacing w:val="-1"/>
              </w:rPr>
              <w:t xml:space="preserve"> </w:t>
            </w:r>
            <w:r w:rsidRPr="00734C74">
              <w:rPr>
                <w:rFonts w:ascii="Verdana" w:hAnsi="Verdana"/>
              </w:rPr>
              <w:t>wykonanie:</w:t>
            </w:r>
          </w:p>
        </w:tc>
        <w:tc>
          <w:tcPr>
            <w:tcW w:w="1700" w:type="dxa"/>
          </w:tcPr>
          <w:p w14:paraId="4AE0315E" w14:textId="01B93D6E" w:rsidR="00956934" w:rsidRPr="00956934" w:rsidRDefault="00956934" w:rsidP="00956934">
            <w:pPr>
              <w:spacing w:after="0" w:line="240" w:lineRule="auto"/>
              <w:ind w:left="360" w:hanging="167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15D2C9CE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09426771" w14:textId="77777777" w:rsidTr="00D552C1">
        <w:tc>
          <w:tcPr>
            <w:tcW w:w="850" w:type="dxa"/>
            <w:vMerge/>
            <w:vAlign w:val="center"/>
          </w:tcPr>
          <w:p w14:paraId="289D73D3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3B712737" w14:textId="4CAACD22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 xml:space="preserve">Pomiar ilości kopii DNA w badanej próbie (na podstawie porównania z krzywą standardową – </w:t>
            </w:r>
            <w:proofErr w:type="spellStart"/>
            <w:r w:rsidRPr="00734C74">
              <w:rPr>
                <w:rFonts w:ascii="Verdana" w:hAnsi="Verdana"/>
              </w:rPr>
              <w:t>external</w:t>
            </w:r>
            <w:proofErr w:type="spellEnd"/>
            <w:r w:rsidRPr="00734C74">
              <w:rPr>
                <w:rFonts w:ascii="Verdana" w:hAnsi="Verdana"/>
              </w:rPr>
              <w:t xml:space="preserve"> lub</w:t>
            </w:r>
            <w:r w:rsidRPr="00734C74">
              <w:rPr>
                <w:rFonts w:ascii="Verdana" w:hAnsi="Verdana"/>
                <w:spacing w:val="2"/>
              </w:rPr>
              <w:t xml:space="preserve"> </w:t>
            </w:r>
            <w:r w:rsidRPr="00734C74">
              <w:rPr>
                <w:rFonts w:ascii="Verdana" w:hAnsi="Verdana"/>
              </w:rPr>
              <w:t>in-run)</w:t>
            </w:r>
          </w:p>
        </w:tc>
        <w:tc>
          <w:tcPr>
            <w:tcW w:w="1700" w:type="dxa"/>
          </w:tcPr>
          <w:p w14:paraId="7EFA4058" w14:textId="3A7659DC" w:rsidR="00956934" w:rsidRPr="00956934" w:rsidRDefault="00956934" w:rsidP="00956934">
            <w:pPr>
              <w:spacing w:after="0" w:line="240" w:lineRule="auto"/>
              <w:ind w:left="360" w:hanging="167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6183683A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25778615" w14:textId="77777777" w:rsidTr="00D552C1">
        <w:tc>
          <w:tcPr>
            <w:tcW w:w="850" w:type="dxa"/>
            <w:vMerge/>
            <w:vAlign w:val="center"/>
          </w:tcPr>
          <w:p w14:paraId="538722E1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025200DC" w14:textId="4F8C632C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Pomiar</w:t>
            </w:r>
            <w:r w:rsidRPr="00734C74">
              <w:rPr>
                <w:rFonts w:ascii="Verdana" w:hAnsi="Verdana"/>
                <w:spacing w:val="14"/>
              </w:rPr>
              <w:t xml:space="preserve"> </w:t>
            </w:r>
            <w:r w:rsidRPr="00734C74">
              <w:rPr>
                <w:rFonts w:ascii="Verdana" w:hAnsi="Verdana"/>
              </w:rPr>
              <w:t>poziomu</w:t>
            </w:r>
            <w:r w:rsidRPr="00734C74">
              <w:rPr>
                <w:rFonts w:ascii="Verdana" w:hAnsi="Verdana"/>
                <w:spacing w:val="13"/>
              </w:rPr>
              <w:t xml:space="preserve"> </w:t>
            </w:r>
            <w:r w:rsidRPr="00734C74">
              <w:rPr>
                <w:rFonts w:ascii="Verdana" w:hAnsi="Verdana"/>
              </w:rPr>
              <w:t>ekspresji</w:t>
            </w:r>
            <w:r w:rsidRPr="00734C74">
              <w:rPr>
                <w:rFonts w:ascii="Verdana" w:hAnsi="Verdana"/>
                <w:spacing w:val="11"/>
              </w:rPr>
              <w:t xml:space="preserve"> </w:t>
            </w:r>
            <w:r w:rsidRPr="00734C74">
              <w:rPr>
                <w:rFonts w:ascii="Verdana" w:hAnsi="Verdana"/>
              </w:rPr>
              <w:t>genu</w:t>
            </w:r>
            <w:r w:rsidRPr="00734C74">
              <w:rPr>
                <w:rFonts w:ascii="Verdana" w:hAnsi="Verdana"/>
                <w:spacing w:val="13"/>
              </w:rPr>
              <w:t xml:space="preserve"> </w:t>
            </w:r>
            <w:r w:rsidRPr="00734C74">
              <w:rPr>
                <w:rFonts w:ascii="Verdana" w:hAnsi="Verdana"/>
              </w:rPr>
              <w:t>badanego</w:t>
            </w:r>
            <w:r w:rsidRPr="00734C74">
              <w:rPr>
                <w:rFonts w:ascii="Verdana" w:hAnsi="Verdana"/>
                <w:spacing w:val="15"/>
              </w:rPr>
              <w:t xml:space="preserve"> </w:t>
            </w:r>
            <w:r w:rsidRPr="00734C74">
              <w:rPr>
                <w:rFonts w:ascii="Verdana" w:hAnsi="Verdana"/>
              </w:rPr>
              <w:t>w</w:t>
            </w:r>
            <w:r w:rsidRPr="00734C74">
              <w:rPr>
                <w:rFonts w:ascii="Verdana" w:hAnsi="Verdana"/>
                <w:spacing w:val="12"/>
              </w:rPr>
              <w:t xml:space="preserve"> </w:t>
            </w:r>
            <w:r w:rsidRPr="00734C74">
              <w:rPr>
                <w:rFonts w:ascii="Verdana" w:hAnsi="Verdana"/>
              </w:rPr>
              <w:t>stosunku</w:t>
            </w:r>
            <w:r w:rsidRPr="00734C74">
              <w:rPr>
                <w:rFonts w:ascii="Verdana" w:hAnsi="Verdana"/>
                <w:spacing w:val="13"/>
              </w:rPr>
              <w:t xml:space="preserve"> </w:t>
            </w:r>
            <w:r w:rsidRPr="00734C74">
              <w:rPr>
                <w:rFonts w:ascii="Verdana" w:hAnsi="Verdana"/>
              </w:rPr>
              <w:t>do</w:t>
            </w:r>
            <w:r w:rsidRPr="00734C74">
              <w:rPr>
                <w:rFonts w:ascii="Verdana" w:hAnsi="Verdana"/>
                <w:spacing w:val="14"/>
              </w:rPr>
              <w:t xml:space="preserve"> </w:t>
            </w:r>
            <w:r w:rsidRPr="00734C74">
              <w:rPr>
                <w:rFonts w:ascii="Verdana" w:hAnsi="Verdana"/>
              </w:rPr>
              <w:t>genu</w:t>
            </w:r>
            <w:r w:rsidRPr="00734C74">
              <w:rPr>
                <w:rFonts w:ascii="Verdana" w:hAnsi="Verdana"/>
                <w:spacing w:val="21"/>
              </w:rPr>
              <w:t xml:space="preserve"> </w:t>
            </w:r>
            <w:r w:rsidRPr="00734C74">
              <w:rPr>
                <w:rFonts w:ascii="Verdana" w:hAnsi="Verdana"/>
              </w:rPr>
              <w:t>referencyjnego</w:t>
            </w:r>
            <w:r w:rsidRPr="00734C74">
              <w:rPr>
                <w:rFonts w:ascii="Verdana" w:hAnsi="Verdana"/>
                <w:spacing w:val="15"/>
              </w:rPr>
              <w:t xml:space="preserve"> </w:t>
            </w:r>
            <w:r w:rsidRPr="00734C74">
              <w:rPr>
                <w:rFonts w:ascii="Verdana" w:hAnsi="Verdana"/>
              </w:rPr>
              <w:t>(w</w:t>
            </w:r>
            <w:r w:rsidRPr="00734C74">
              <w:rPr>
                <w:rFonts w:ascii="Verdana" w:hAnsi="Verdana"/>
                <w:spacing w:val="12"/>
              </w:rPr>
              <w:t xml:space="preserve"> </w:t>
            </w:r>
            <w:r w:rsidRPr="00734C74">
              <w:rPr>
                <w:rFonts w:ascii="Verdana" w:hAnsi="Verdana"/>
              </w:rPr>
              <w:t>ujęciu</w:t>
            </w:r>
            <w:r>
              <w:rPr>
                <w:rFonts w:ascii="Verdana" w:hAnsi="Verdana"/>
              </w:rPr>
              <w:t xml:space="preserve"> </w:t>
            </w:r>
            <w:r w:rsidRPr="00734C74">
              <w:rPr>
                <w:rFonts w:ascii="Verdana" w:hAnsi="Verdana"/>
              </w:rPr>
              <w:t>„one-</w:t>
            </w:r>
            <w:proofErr w:type="spellStart"/>
            <w:r w:rsidRPr="00734C74">
              <w:rPr>
                <w:rFonts w:ascii="Verdana" w:hAnsi="Verdana"/>
              </w:rPr>
              <w:t>click</w:t>
            </w:r>
            <w:proofErr w:type="spellEnd"/>
            <w:r w:rsidRPr="00734C74">
              <w:rPr>
                <w:rFonts w:ascii="Verdana" w:hAnsi="Verdana"/>
              </w:rPr>
              <w:t xml:space="preserve">” Basic lub w pełni </w:t>
            </w:r>
            <w:r w:rsidRPr="00734C74">
              <w:rPr>
                <w:rFonts w:ascii="Verdana" w:hAnsi="Verdana"/>
              </w:rPr>
              <w:lastRenderedPageBreak/>
              <w:t>elastycznym Advanced, z uwzględnieniem wydajności wyznaczonej na podstawie krzywej standardowej)</w:t>
            </w:r>
          </w:p>
        </w:tc>
        <w:tc>
          <w:tcPr>
            <w:tcW w:w="1700" w:type="dxa"/>
          </w:tcPr>
          <w:p w14:paraId="1EF7B9B6" w14:textId="69622FE7" w:rsidR="00956934" w:rsidRPr="00956934" w:rsidRDefault="00956934" w:rsidP="00956934">
            <w:pPr>
              <w:spacing w:after="0" w:line="240" w:lineRule="auto"/>
              <w:ind w:left="360" w:hanging="167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859" w:type="dxa"/>
          </w:tcPr>
          <w:p w14:paraId="209C4108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1CC34120" w14:textId="77777777" w:rsidTr="00FF6112">
        <w:tc>
          <w:tcPr>
            <w:tcW w:w="850" w:type="dxa"/>
            <w:vMerge w:val="restart"/>
            <w:vAlign w:val="center"/>
          </w:tcPr>
          <w:p w14:paraId="755F939D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6EAEF2E1" w14:textId="57C5764F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 xml:space="preserve">Analizy </w:t>
            </w:r>
            <w:proofErr w:type="spellStart"/>
            <w:r w:rsidRPr="00734C74">
              <w:rPr>
                <w:rFonts w:ascii="Verdana" w:hAnsi="Verdana"/>
              </w:rPr>
              <w:t>genotypowania</w:t>
            </w:r>
            <w:proofErr w:type="spellEnd"/>
            <w:r w:rsidRPr="00734C74">
              <w:rPr>
                <w:rFonts w:ascii="Verdana" w:hAnsi="Verdana"/>
              </w:rPr>
              <w:t xml:space="preserve"> – analiza genotypu na podstawie temperatury topnienia produktu (na podstawie porównania ze standardem – </w:t>
            </w:r>
            <w:proofErr w:type="spellStart"/>
            <w:r w:rsidRPr="00734C74">
              <w:rPr>
                <w:rFonts w:ascii="Verdana" w:hAnsi="Verdana"/>
              </w:rPr>
              <w:t>external</w:t>
            </w:r>
            <w:proofErr w:type="spellEnd"/>
            <w:r w:rsidRPr="00734C74">
              <w:rPr>
                <w:rFonts w:ascii="Verdana" w:hAnsi="Verdana"/>
              </w:rPr>
              <w:t xml:space="preserve"> lub in-run, na podstawie </w:t>
            </w:r>
            <w:proofErr w:type="spellStart"/>
            <w:r w:rsidRPr="00734C74">
              <w:rPr>
                <w:rFonts w:ascii="Verdana" w:hAnsi="Verdana"/>
              </w:rPr>
              <w:t>podobieństawa</w:t>
            </w:r>
            <w:proofErr w:type="spellEnd"/>
            <w:r w:rsidRPr="00734C74">
              <w:rPr>
                <w:rFonts w:ascii="Verdana" w:hAnsi="Verdana"/>
              </w:rPr>
              <w:t xml:space="preserve"> –</w:t>
            </w:r>
            <w:r w:rsidRPr="00734C74">
              <w:rPr>
                <w:rFonts w:ascii="Verdana" w:hAnsi="Verdana"/>
                <w:spacing w:val="1"/>
              </w:rPr>
              <w:t xml:space="preserve"> </w:t>
            </w:r>
            <w:r w:rsidRPr="00734C74">
              <w:rPr>
                <w:rFonts w:ascii="Verdana" w:hAnsi="Verdana"/>
              </w:rPr>
              <w:t>auto-</w:t>
            </w:r>
            <w:proofErr w:type="spellStart"/>
            <w:r w:rsidRPr="00734C74">
              <w:rPr>
                <w:rFonts w:ascii="Verdana" w:hAnsi="Verdana"/>
              </w:rPr>
              <w:t>group</w:t>
            </w:r>
            <w:proofErr w:type="spellEnd"/>
            <w:r w:rsidRPr="00734C74">
              <w:rPr>
                <w:rFonts w:ascii="Verdana" w:hAnsi="Verdana"/>
              </w:rPr>
              <w:t>)</w:t>
            </w:r>
          </w:p>
        </w:tc>
        <w:tc>
          <w:tcPr>
            <w:tcW w:w="1700" w:type="dxa"/>
          </w:tcPr>
          <w:p w14:paraId="48A8A3E3" w14:textId="36CA5A59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08A428F0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05EB2556" w14:textId="77777777" w:rsidTr="00FF6112">
        <w:tc>
          <w:tcPr>
            <w:tcW w:w="850" w:type="dxa"/>
            <w:vMerge/>
            <w:vAlign w:val="center"/>
          </w:tcPr>
          <w:p w14:paraId="09A63C79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496AAB40" w14:textId="4D58A10C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 xml:space="preserve">Analizy </w:t>
            </w:r>
            <w:proofErr w:type="spellStart"/>
            <w:r w:rsidRPr="00734C74">
              <w:rPr>
                <w:rFonts w:ascii="Verdana" w:hAnsi="Verdana"/>
              </w:rPr>
              <w:t>Gene</w:t>
            </w:r>
            <w:proofErr w:type="spellEnd"/>
            <w:r w:rsidRPr="00734C74">
              <w:rPr>
                <w:rFonts w:ascii="Verdana" w:hAnsi="Verdana"/>
              </w:rPr>
              <w:t xml:space="preserve"> </w:t>
            </w:r>
            <w:proofErr w:type="spellStart"/>
            <w:r w:rsidRPr="00734C74">
              <w:rPr>
                <w:rFonts w:ascii="Verdana" w:hAnsi="Verdana"/>
              </w:rPr>
              <w:t>Scanning</w:t>
            </w:r>
            <w:proofErr w:type="spellEnd"/>
            <w:r w:rsidRPr="00734C74">
              <w:rPr>
                <w:rFonts w:ascii="Verdana" w:hAnsi="Verdana"/>
              </w:rPr>
              <w:t xml:space="preserve"> / High Resolution </w:t>
            </w:r>
            <w:proofErr w:type="spellStart"/>
            <w:r w:rsidRPr="00734C74">
              <w:rPr>
                <w:rFonts w:ascii="Verdana" w:hAnsi="Verdana"/>
              </w:rPr>
              <w:t>Melting</w:t>
            </w:r>
            <w:proofErr w:type="spellEnd"/>
            <w:r w:rsidRPr="00734C74">
              <w:rPr>
                <w:rFonts w:ascii="Verdana" w:hAnsi="Verdana"/>
              </w:rPr>
              <w:t xml:space="preserve"> służąca do analizy mutacji (w tym SNP) przy pomocy specjalnego barwnika </w:t>
            </w:r>
            <w:proofErr w:type="spellStart"/>
            <w:r w:rsidRPr="00734C74">
              <w:rPr>
                <w:rFonts w:ascii="Verdana" w:hAnsi="Verdana"/>
              </w:rPr>
              <w:t>interkalującego</w:t>
            </w:r>
            <w:proofErr w:type="spellEnd"/>
            <w:r w:rsidRPr="00734C74">
              <w:rPr>
                <w:rFonts w:ascii="Verdana" w:hAnsi="Verdana"/>
              </w:rPr>
              <w:t xml:space="preserve"> typu LC Green lub</w:t>
            </w:r>
            <w:r w:rsidRPr="00734C74">
              <w:rPr>
                <w:rFonts w:ascii="Verdana" w:hAnsi="Verdana"/>
                <w:spacing w:val="-22"/>
              </w:rPr>
              <w:t xml:space="preserve"> </w:t>
            </w:r>
            <w:r w:rsidRPr="00734C74">
              <w:rPr>
                <w:rFonts w:ascii="Verdana" w:hAnsi="Verdana"/>
              </w:rPr>
              <w:t>podobny</w:t>
            </w:r>
          </w:p>
        </w:tc>
        <w:tc>
          <w:tcPr>
            <w:tcW w:w="1700" w:type="dxa"/>
          </w:tcPr>
          <w:p w14:paraId="1C38800F" w14:textId="0BF8DDE7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3E956FB4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1A708AC0" w14:textId="77777777" w:rsidTr="00FF6112">
        <w:tc>
          <w:tcPr>
            <w:tcW w:w="850" w:type="dxa"/>
            <w:vMerge/>
            <w:vAlign w:val="center"/>
          </w:tcPr>
          <w:p w14:paraId="2903F8A9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18672983" w14:textId="5C2715DC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 xml:space="preserve">Analizy </w:t>
            </w:r>
            <w:proofErr w:type="spellStart"/>
            <w:r w:rsidRPr="00734C74">
              <w:rPr>
                <w:rFonts w:ascii="Verdana" w:hAnsi="Verdana"/>
              </w:rPr>
              <w:t>genotypowania</w:t>
            </w:r>
            <w:proofErr w:type="spellEnd"/>
            <w:r w:rsidRPr="00734C74">
              <w:rPr>
                <w:rFonts w:ascii="Verdana" w:hAnsi="Verdana"/>
              </w:rPr>
              <w:t xml:space="preserve"> typu end-point z grupowaniem na podstawie standardów lub auto- </w:t>
            </w:r>
            <w:proofErr w:type="spellStart"/>
            <w:r w:rsidRPr="00734C74">
              <w:rPr>
                <w:rFonts w:ascii="Verdana" w:hAnsi="Verdana"/>
              </w:rPr>
              <w:t>group</w:t>
            </w:r>
            <w:proofErr w:type="spellEnd"/>
            <w:r w:rsidRPr="00734C74">
              <w:rPr>
                <w:rFonts w:ascii="Verdana" w:hAnsi="Verdana"/>
              </w:rPr>
              <w:t xml:space="preserve">, możliwość analizy bez konieczności przeprowadzania reakcji </w:t>
            </w:r>
            <w:proofErr w:type="spellStart"/>
            <w:r w:rsidRPr="00734C74">
              <w:rPr>
                <w:rFonts w:ascii="Verdana" w:hAnsi="Verdana"/>
              </w:rPr>
              <w:t>pcr</w:t>
            </w:r>
            <w:proofErr w:type="spellEnd"/>
            <w:r w:rsidRPr="00734C74">
              <w:rPr>
                <w:rFonts w:ascii="Verdana" w:hAnsi="Verdana"/>
              </w:rPr>
              <w:t xml:space="preserve"> (PCR w tradycyjnym</w:t>
            </w:r>
            <w:r w:rsidRPr="00734C74">
              <w:rPr>
                <w:rFonts w:ascii="Verdana" w:hAnsi="Verdana"/>
                <w:spacing w:val="3"/>
              </w:rPr>
              <w:t xml:space="preserve"> </w:t>
            </w:r>
            <w:proofErr w:type="spellStart"/>
            <w:r w:rsidRPr="00734C74">
              <w:rPr>
                <w:rFonts w:ascii="Verdana" w:hAnsi="Verdana"/>
              </w:rPr>
              <w:t>termocyklerze</w:t>
            </w:r>
            <w:proofErr w:type="spellEnd"/>
            <w:r w:rsidRPr="00734C74">
              <w:rPr>
                <w:rFonts w:ascii="Verdana" w:hAnsi="Verdana"/>
              </w:rPr>
              <w:t>)</w:t>
            </w:r>
          </w:p>
        </w:tc>
        <w:tc>
          <w:tcPr>
            <w:tcW w:w="1700" w:type="dxa"/>
          </w:tcPr>
          <w:p w14:paraId="48B05052" w14:textId="6565AB07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2F062970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0902ADD6" w14:textId="77777777" w:rsidTr="00FF6112">
        <w:tc>
          <w:tcPr>
            <w:tcW w:w="850" w:type="dxa"/>
            <w:vMerge/>
            <w:vAlign w:val="center"/>
          </w:tcPr>
          <w:p w14:paraId="6A87B227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72CA6A2A" w14:textId="62B04F5E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 xml:space="preserve">Porównania płytek z wynikami dla wszystkich dostępnych aplikacji z uzyskaniem wyniku </w:t>
            </w:r>
            <w:r w:rsidRPr="0016454B">
              <w:rPr>
                <w:rFonts w:ascii="Verdana" w:hAnsi="Verdana"/>
              </w:rPr>
              <w:t xml:space="preserve">w arkuszu kalkulacyjnych w formacie .xls </w:t>
            </w:r>
          </w:p>
        </w:tc>
        <w:tc>
          <w:tcPr>
            <w:tcW w:w="1700" w:type="dxa"/>
          </w:tcPr>
          <w:p w14:paraId="5A57D1F4" w14:textId="085F09A8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761E71DA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1C8E685E" w14:textId="77777777" w:rsidTr="00FF6112">
        <w:tc>
          <w:tcPr>
            <w:tcW w:w="850" w:type="dxa"/>
            <w:vAlign w:val="center"/>
          </w:tcPr>
          <w:p w14:paraId="46D3A51C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4072101E" w14:textId="48EE3367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 xml:space="preserve">Możliwość wykonania analizy </w:t>
            </w:r>
            <w:proofErr w:type="spellStart"/>
            <w:r w:rsidRPr="00734C74">
              <w:rPr>
                <w:rFonts w:ascii="Verdana" w:hAnsi="Verdana"/>
              </w:rPr>
              <w:t>Gene</w:t>
            </w:r>
            <w:proofErr w:type="spellEnd"/>
            <w:r w:rsidRPr="00734C74">
              <w:rPr>
                <w:rFonts w:ascii="Verdana" w:hAnsi="Verdana"/>
              </w:rPr>
              <w:t xml:space="preserve"> </w:t>
            </w:r>
            <w:proofErr w:type="spellStart"/>
            <w:r w:rsidRPr="00734C74">
              <w:rPr>
                <w:rFonts w:ascii="Verdana" w:hAnsi="Verdana"/>
              </w:rPr>
              <w:t>Scanning</w:t>
            </w:r>
            <w:proofErr w:type="spellEnd"/>
            <w:r w:rsidRPr="00734C74">
              <w:rPr>
                <w:rFonts w:ascii="Verdana" w:hAnsi="Verdana"/>
              </w:rPr>
              <w:t xml:space="preserve"> / High Resolution </w:t>
            </w:r>
            <w:proofErr w:type="spellStart"/>
            <w:r w:rsidRPr="00734C74">
              <w:rPr>
                <w:rFonts w:ascii="Verdana" w:hAnsi="Verdana"/>
              </w:rPr>
              <w:t>Melting</w:t>
            </w:r>
            <w:proofErr w:type="spellEnd"/>
            <w:r w:rsidRPr="00734C74">
              <w:rPr>
                <w:rFonts w:ascii="Verdana" w:hAnsi="Verdana"/>
              </w:rPr>
              <w:t xml:space="preserve"> bez konieczności wprowadzania standardów o znanym genotypie; poszczególne krzywe mogą być łączone w grupy automatycznie, na podstawie swojego</w:t>
            </w:r>
            <w:r w:rsidRPr="00734C74">
              <w:rPr>
                <w:rFonts w:ascii="Verdana" w:hAnsi="Verdana"/>
                <w:spacing w:val="-4"/>
              </w:rPr>
              <w:t xml:space="preserve"> </w:t>
            </w:r>
            <w:r w:rsidRPr="00734C74">
              <w:rPr>
                <w:rFonts w:ascii="Verdana" w:hAnsi="Verdana"/>
              </w:rPr>
              <w:t>podobieństwa.</w:t>
            </w:r>
          </w:p>
        </w:tc>
        <w:tc>
          <w:tcPr>
            <w:tcW w:w="1700" w:type="dxa"/>
          </w:tcPr>
          <w:p w14:paraId="72E12CC8" w14:textId="41022AE7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437FE559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3AC951C2" w14:textId="77777777" w:rsidTr="00FF6112">
        <w:tc>
          <w:tcPr>
            <w:tcW w:w="850" w:type="dxa"/>
            <w:vAlign w:val="center"/>
          </w:tcPr>
          <w:p w14:paraId="1E469A3E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159809ED" w14:textId="7536D892" w:rsidR="00956934" w:rsidRPr="008D398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D398B">
              <w:rPr>
                <w:rFonts w:ascii="Verdana" w:hAnsi="Verdana"/>
              </w:rPr>
              <w:t>Możliwość obserwowania przeprowadzanej reakcji PCR na bieżąco podczas jej trwania (online) bez konieczności wcześniejszego opisu</w:t>
            </w:r>
            <w:r w:rsidRPr="008D398B">
              <w:rPr>
                <w:rFonts w:ascii="Verdana" w:hAnsi="Verdana"/>
                <w:spacing w:val="-2"/>
              </w:rPr>
              <w:t xml:space="preserve"> </w:t>
            </w:r>
            <w:r w:rsidRPr="008D398B">
              <w:rPr>
                <w:rFonts w:ascii="Verdana" w:hAnsi="Verdana"/>
              </w:rPr>
              <w:t>próbek.</w:t>
            </w:r>
          </w:p>
        </w:tc>
        <w:tc>
          <w:tcPr>
            <w:tcW w:w="1700" w:type="dxa"/>
          </w:tcPr>
          <w:p w14:paraId="04C194EE" w14:textId="0B34B497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117B1B0C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12A74A7A" w14:textId="77777777" w:rsidTr="00FF6112">
        <w:tc>
          <w:tcPr>
            <w:tcW w:w="850" w:type="dxa"/>
            <w:vAlign w:val="center"/>
          </w:tcPr>
          <w:p w14:paraId="5852545F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697B92A2" w14:textId="541F574B" w:rsidR="00956934" w:rsidRPr="008D398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8D398B">
              <w:rPr>
                <w:rFonts w:ascii="Verdana" w:hAnsi="Verdana"/>
              </w:rPr>
              <w:t>Możliwość sterowania przebiegiem reakcji w czasie jej trwania poprzez dodanie dowolnej liczby dodatkowych cykli lub wcześniejsze jej zakończenie zależnie od obserwowanych na bieżąco danych.</w:t>
            </w:r>
          </w:p>
        </w:tc>
        <w:tc>
          <w:tcPr>
            <w:tcW w:w="1700" w:type="dxa"/>
          </w:tcPr>
          <w:p w14:paraId="44B52DB0" w14:textId="0000C213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75A694CC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259DEF54" w14:textId="77777777" w:rsidTr="00FF6112">
        <w:tc>
          <w:tcPr>
            <w:tcW w:w="850" w:type="dxa"/>
            <w:vAlign w:val="center"/>
          </w:tcPr>
          <w:p w14:paraId="57900917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4BB98A73" w14:textId="5164B4A2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śledzenia fluorescencji dla każdej próbki podczas reakcji zarówno w zależności od czasu (krzywe fluorescencji) jak i cyklu (krzywe</w:t>
            </w:r>
            <w:r w:rsidRPr="00734C74">
              <w:rPr>
                <w:rFonts w:ascii="Verdana" w:hAnsi="Verdana"/>
                <w:spacing w:val="-3"/>
              </w:rPr>
              <w:t xml:space="preserve"> </w:t>
            </w:r>
            <w:r w:rsidRPr="00734C74">
              <w:rPr>
                <w:rFonts w:ascii="Verdana" w:hAnsi="Verdana"/>
              </w:rPr>
              <w:t>amplifikacji)</w:t>
            </w:r>
          </w:p>
        </w:tc>
        <w:tc>
          <w:tcPr>
            <w:tcW w:w="1700" w:type="dxa"/>
          </w:tcPr>
          <w:p w14:paraId="2801487A" w14:textId="382215BD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54463CF9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17FA7B11" w14:textId="77777777" w:rsidTr="00FF6112">
        <w:tc>
          <w:tcPr>
            <w:tcW w:w="850" w:type="dxa"/>
            <w:vAlign w:val="center"/>
          </w:tcPr>
          <w:p w14:paraId="36F33F4F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2CD092B7" w14:textId="0BDD8B94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Oprogramowanie aparatu i baza danych z opcją automatycznego zapisywania informacji o wszystkich zmianach w plikach z otrzymanymi wynikami dokonywanych przez użytkowników aparatu (tzw. „</w:t>
            </w:r>
            <w:proofErr w:type="spellStart"/>
            <w:r w:rsidRPr="00734C74">
              <w:rPr>
                <w:rFonts w:ascii="Verdana" w:hAnsi="Verdana"/>
              </w:rPr>
              <w:t>traceable</w:t>
            </w:r>
            <w:proofErr w:type="spellEnd"/>
            <w:r w:rsidRPr="00734C74">
              <w:rPr>
                <w:rFonts w:ascii="Verdana" w:hAnsi="Verdana"/>
              </w:rPr>
              <w:t xml:space="preserve"> </w:t>
            </w:r>
            <w:proofErr w:type="spellStart"/>
            <w:r w:rsidRPr="00734C74">
              <w:rPr>
                <w:rFonts w:ascii="Verdana" w:hAnsi="Verdana"/>
              </w:rPr>
              <w:t>database</w:t>
            </w:r>
            <w:proofErr w:type="spellEnd"/>
            <w:r w:rsidRPr="00734C74">
              <w:rPr>
                <w:rFonts w:ascii="Verdana" w:hAnsi="Verdana"/>
              </w:rPr>
              <w:t xml:space="preserve">”) </w:t>
            </w:r>
          </w:p>
        </w:tc>
        <w:tc>
          <w:tcPr>
            <w:tcW w:w="1700" w:type="dxa"/>
          </w:tcPr>
          <w:p w14:paraId="5899483A" w14:textId="0EA8CE67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0B74B96E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7CF68853" w14:textId="77777777" w:rsidTr="00FF6112">
        <w:tc>
          <w:tcPr>
            <w:tcW w:w="850" w:type="dxa"/>
            <w:vAlign w:val="center"/>
          </w:tcPr>
          <w:p w14:paraId="7F50074D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3C3503CB" w14:textId="4CF3F2B8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instalacji oprogramowania na osobnym komputerze oraz przeniesienia pełnej bazy danych – nie ma konieczności analizy eksperymentów na jednostce sterującej</w:t>
            </w:r>
            <w:r w:rsidRPr="00734C74">
              <w:rPr>
                <w:rFonts w:ascii="Verdana" w:hAnsi="Verdana"/>
                <w:spacing w:val="-21"/>
              </w:rPr>
              <w:t xml:space="preserve"> </w:t>
            </w:r>
            <w:r w:rsidRPr="00CF27EC">
              <w:rPr>
                <w:rFonts w:ascii="Verdana" w:hAnsi="Verdana"/>
                <w:spacing w:val="-21"/>
              </w:rPr>
              <w:t>urządzenia</w:t>
            </w:r>
            <w:r w:rsidRPr="00CF27EC">
              <w:rPr>
                <w:rFonts w:ascii="Verdana" w:hAnsi="Verdana"/>
              </w:rPr>
              <w:t>.</w:t>
            </w:r>
          </w:p>
        </w:tc>
        <w:tc>
          <w:tcPr>
            <w:tcW w:w="1700" w:type="dxa"/>
          </w:tcPr>
          <w:p w14:paraId="58DF4F19" w14:textId="7D030567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09EA4F72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1BCF798E" w14:textId="77777777" w:rsidTr="00FF6112">
        <w:tc>
          <w:tcPr>
            <w:tcW w:w="850" w:type="dxa"/>
            <w:vAlign w:val="center"/>
          </w:tcPr>
          <w:p w14:paraId="18D8D609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5197D0BD" w14:textId="147D505C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Brak konieczności odnawiania licencji na</w:t>
            </w:r>
            <w:r w:rsidRPr="00734C74">
              <w:rPr>
                <w:rFonts w:ascii="Verdana" w:hAnsi="Verdana"/>
                <w:spacing w:val="-6"/>
              </w:rPr>
              <w:t xml:space="preserve"> </w:t>
            </w:r>
            <w:r w:rsidRPr="00734C74">
              <w:rPr>
                <w:rFonts w:ascii="Verdana" w:hAnsi="Verdana"/>
              </w:rPr>
              <w:t>oprogramowanie.</w:t>
            </w:r>
          </w:p>
        </w:tc>
        <w:tc>
          <w:tcPr>
            <w:tcW w:w="1700" w:type="dxa"/>
          </w:tcPr>
          <w:p w14:paraId="482FC8B6" w14:textId="77F34543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6C33D717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0DB90AAA" w14:textId="77777777" w:rsidTr="00FF6112">
        <w:tc>
          <w:tcPr>
            <w:tcW w:w="850" w:type="dxa"/>
            <w:vAlign w:val="center"/>
          </w:tcPr>
          <w:p w14:paraId="0176FB28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4C8DD458" w14:textId="2680A8B3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instalacji dodatkowych baz</w:t>
            </w:r>
            <w:r w:rsidRPr="00734C74">
              <w:rPr>
                <w:rFonts w:ascii="Verdana" w:hAnsi="Verdana"/>
                <w:spacing w:val="-3"/>
              </w:rPr>
              <w:t xml:space="preserve"> </w:t>
            </w:r>
            <w:r w:rsidRPr="00734C74">
              <w:rPr>
                <w:rFonts w:ascii="Verdana" w:hAnsi="Verdana"/>
              </w:rPr>
              <w:t>danych.</w:t>
            </w:r>
          </w:p>
        </w:tc>
        <w:tc>
          <w:tcPr>
            <w:tcW w:w="1700" w:type="dxa"/>
          </w:tcPr>
          <w:p w14:paraId="78181141" w14:textId="4AB51D7D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4E5AD563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03501D22" w14:textId="77777777" w:rsidTr="00FF6112">
        <w:tc>
          <w:tcPr>
            <w:tcW w:w="850" w:type="dxa"/>
            <w:vAlign w:val="center"/>
          </w:tcPr>
          <w:p w14:paraId="0EDACB1E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7AAEE994" w14:textId="30D4953F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tworzenie grup użytkowników o różnych poziomach</w:t>
            </w:r>
            <w:r w:rsidRPr="00734C74">
              <w:rPr>
                <w:rFonts w:ascii="Verdana" w:hAnsi="Verdana"/>
                <w:spacing w:val="-8"/>
              </w:rPr>
              <w:t xml:space="preserve"> </w:t>
            </w:r>
            <w:r w:rsidRPr="00734C74">
              <w:rPr>
                <w:rFonts w:ascii="Verdana" w:hAnsi="Verdana"/>
              </w:rPr>
              <w:t>dostępu.</w:t>
            </w:r>
          </w:p>
        </w:tc>
        <w:tc>
          <w:tcPr>
            <w:tcW w:w="1700" w:type="dxa"/>
          </w:tcPr>
          <w:p w14:paraId="2343CF00" w14:textId="213931E2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7B68ECC4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1838624F" w14:textId="77777777" w:rsidTr="009D06F0">
        <w:tc>
          <w:tcPr>
            <w:tcW w:w="850" w:type="dxa"/>
            <w:vAlign w:val="center"/>
          </w:tcPr>
          <w:p w14:paraId="337A53A1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76E71CC2" w14:textId="666E70E5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tworzenia makr oraz szablonów elementów</w:t>
            </w:r>
            <w:r w:rsidRPr="00734C74">
              <w:rPr>
                <w:rFonts w:ascii="Verdana" w:hAnsi="Verdana"/>
                <w:spacing w:val="-14"/>
              </w:rPr>
              <w:t xml:space="preserve"> </w:t>
            </w:r>
            <w:r w:rsidRPr="00734C74">
              <w:rPr>
                <w:rFonts w:ascii="Verdana" w:hAnsi="Verdana"/>
              </w:rPr>
              <w:t>eksperymentu.</w:t>
            </w:r>
          </w:p>
        </w:tc>
        <w:tc>
          <w:tcPr>
            <w:tcW w:w="1700" w:type="dxa"/>
          </w:tcPr>
          <w:p w14:paraId="1B472415" w14:textId="57087FE1" w:rsidR="00956934" w:rsidRPr="00956934" w:rsidRDefault="00956934" w:rsidP="00956934">
            <w:pPr>
              <w:spacing w:after="0" w:line="240" w:lineRule="auto"/>
              <w:ind w:left="360" w:hanging="309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133FF8CC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316337FB" w14:textId="77777777" w:rsidTr="009D06F0">
        <w:tc>
          <w:tcPr>
            <w:tcW w:w="850" w:type="dxa"/>
            <w:vAlign w:val="center"/>
          </w:tcPr>
          <w:p w14:paraId="46202D04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5B6BD4C2" w14:textId="126A2F8F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automatycznego definiowania próbek krzywej</w:t>
            </w:r>
            <w:r w:rsidRPr="00734C74">
              <w:rPr>
                <w:rFonts w:ascii="Verdana" w:hAnsi="Verdana"/>
                <w:spacing w:val="-3"/>
              </w:rPr>
              <w:t xml:space="preserve"> </w:t>
            </w:r>
            <w:r w:rsidRPr="00734C74">
              <w:rPr>
                <w:rFonts w:ascii="Verdana" w:hAnsi="Verdana"/>
              </w:rPr>
              <w:t>standardowej.</w:t>
            </w:r>
          </w:p>
        </w:tc>
        <w:tc>
          <w:tcPr>
            <w:tcW w:w="1700" w:type="dxa"/>
          </w:tcPr>
          <w:p w14:paraId="52CDFC4E" w14:textId="7C1EB16D" w:rsidR="00956934" w:rsidRPr="00956934" w:rsidRDefault="00956934" w:rsidP="00956934">
            <w:pPr>
              <w:spacing w:after="0" w:line="240" w:lineRule="auto"/>
              <w:ind w:left="360" w:hanging="309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43551068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3D49F6BF" w14:textId="77777777" w:rsidTr="009D06F0">
        <w:tc>
          <w:tcPr>
            <w:tcW w:w="850" w:type="dxa"/>
            <w:vAlign w:val="center"/>
          </w:tcPr>
          <w:p w14:paraId="466755A0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054CB2DF" w14:textId="0EAF454A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Dostępność uniwersalnych obiektów kompensacji</w:t>
            </w:r>
            <w:r w:rsidRPr="00734C74">
              <w:rPr>
                <w:rFonts w:ascii="Verdana" w:hAnsi="Verdana"/>
                <w:spacing w:val="-8"/>
              </w:rPr>
              <w:t xml:space="preserve"> </w:t>
            </w:r>
            <w:r w:rsidRPr="00734C74">
              <w:rPr>
                <w:rFonts w:ascii="Verdana" w:hAnsi="Verdana"/>
              </w:rPr>
              <w:t>koloru.</w:t>
            </w:r>
          </w:p>
        </w:tc>
        <w:tc>
          <w:tcPr>
            <w:tcW w:w="1700" w:type="dxa"/>
          </w:tcPr>
          <w:p w14:paraId="6A76BD05" w14:textId="4089A8DF" w:rsidR="00956934" w:rsidRPr="00956934" w:rsidRDefault="00956934" w:rsidP="00956934">
            <w:pPr>
              <w:spacing w:after="0" w:line="240" w:lineRule="auto"/>
              <w:ind w:left="360" w:hanging="309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683E68DE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24AED96D" w14:textId="77777777" w:rsidTr="009D06F0">
        <w:tc>
          <w:tcPr>
            <w:tcW w:w="850" w:type="dxa"/>
            <w:vAlign w:val="center"/>
          </w:tcPr>
          <w:p w14:paraId="598BDF04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65F7904A" w14:textId="7501CE2B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utworzenia pliku z podsumowaniem reakcji PCR (m.in. parametry reakcji PCR, opis próbek, wyniki, wykresy) w formacie</w:t>
            </w:r>
            <w:r w:rsidRPr="00734C74">
              <w:rPr>
                <w:rFonts w:ascii="Verdana" w:hAnsi="Verdana"/>
                <w:spacing w:val="1"/>
              </w:rPr>
              <w:t xml:space="preserve"> </w:t>
            </w:r>
            <w:r w:rsidRPr="00734C74">
              <w:rPr>
                <w:rFonts w:ascii="Verdana" w:hAnsi="Verdana"/>
              </w:rPr>
              <w:t>.pdf</w:t>
            </w:r>
          </w:p>
        </w:tc>
        <w:tc>
          <w:tcPr>
            <w:tcW w:w="1700" w:type="dxa"/>
          </w:tcPr>
          <w:p w14:paraId="6567600A" w14:textId="7C2039AA" w:rsidR="00956934" w:rsidRPr="00956934" w:rsidRDefault="00956934" w:rsidP="00956934">
            <w:pPr>
              <w:spacing w:after="0" w:line="240" w:lineRule="auto"/>
              <w:ind w:left="360" w:hanging="309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49DC54D2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558C3285" w14:textId="77777777" w:rsidTr="00B04889">
        <w:tc>
          <w:tcPr>
            <w:tcW w:w="850" w:type="dxa"/>
            <w:vAlign w:val="center"/>
          </w:tcPr>
          <w:p w14:paraId="29D4FB74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6ABF5061" w14:textId="614F40DA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 xml:space="preserve">Możliwość dokumentacji (wydruk / plik .pdf) wyniku </w:t>
            </w:r>
            <w:proofErr w:type="spellStart"/>
            <w:r w:rsidRPr="00734C74">
              <w:rPr>
                <w:rFonts w:ascii="Verdana" w:hAnsi="Verdana"/>
              </w:rPr>
              <w:t>autotestu</w:t>
            </w:r>
            <w:proofErr w:type="spellEnd"/>
            <w:r w:rsidRPr="00734C74">
              <w:rPr>
                <w:rFonts w:ascii="Verdana" w:hAnsi="Verdana"/>
              </w:rPr>
              <w:t xml:space="preserve"> przeprowadzanego każdorazowo po uruchomieniu aparatu.</w:t>
            </w:r>
          </w:p>
        </w:tc>
        <w:tc>
          <w:tcPr>
            <w:tcW w:w="1700" w:type="dxa"/>
          </w:tcPr>
          <w:p w14:paraId="487B7EC4" w14:textId="78EEAC93" w:rsidR="00956934" w:rsidRPr="00956934" w:rsidRDefault="00956934" w:rsidP="0095693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44BB03C3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4E6793F1" w14:textId="77777777" w:rsidTr="00B04889">
        <w:tc>
          <w:tcPr>
            <w:tcW w:w="850" w:type="dxa"/>
            <w:vAlign w:val="center"/>
          </w:tcPr>
          <w:p w14:paraId="7E7AFA9E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4EED8B97" w14:textId="3877E781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integracji aparatu z laboratoryjnym systemem informatycznym</w:t>
            </w:r>
            <w:r w:rsidRPr="00734C74">
              <w:rPr>
                <w:rFonts w:ascii="Verdana" w:hAnsi="Verdana"/>
                <w:spacing w:val="-3"/>
              </w:rPr>
              <w:t xml:space="preserve"> </w:t>
            </w:r>
            <w:r w:rsidRPr="00734C74">
              <w:rPr>
                <w:rFonts w:ascii="Verdana" w:hAnsi="Verdana"/>
              </w:rPr>
              <w:t>użytkownika.</w:t>
            </w:r>
          </w:p>
        </w:tc>
        <w:tc>
          <w:tcPr>
            <w:tcW w:w="1700" w:type="dxa"/>
          </w:tcPr>
          <w:p w14:paraId="0A10F401" w14:textId="775F6CF9" w:rsidR="00956934" w:rsidRPr="00956934" w:rsidRDefault="00956934" w:rsidP="0095693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476D7D2A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6B048A9C" w14:textId="77777777" w:rsidTr="00B04889">
        <w:tc>
          <w:tcPr>
            <w:tcW w:w="850" w:type="dxa"/>
            <w:vAlign w:val="center"/>
          </w:tcPr>
          <w:p w14:paraId="76A35CAA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7426D6F9" w14:textId="75B67C4E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Możliwość zdalnego serwisu.</w:t>
            </w:r>
          </w:p>
        </w:tc>
        <w:tc>
          <w:tcPr>
            <w:tcW w:w="1700" w:type="dxa"/>
          </w:tcPr>
          <w:p w14:paraId="1111F9FB" w14:textId="22E48A1D" w:rsidR="00956934" w:rsidRPr="00956934" w:rsidRDefault="00956934" w:rsidP="0095693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79AFDED5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75C63249" w14:textId="77777777" w:rsidTr="00B04889">
        <w:tc>
          <w:tcPr>
            <w:tcW w:w="850" w:type="dxa"/>
            <w:vAlign w:val="center"/>
          </w:tcPr>
          <w:p w14:paraId="5D58B6CF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2F6A04FB" w14:textId="74CBBF28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Dostępność opracowanych przez producenta procedur kwalifikacji instalacyjnej i operacyjnej aparatu.</w:t>
            </w:r>
          </w:p>
        </w:tc>
        <w:tc>
          <w:tcPr>
            <w:tcW w:w="1700" w:type="dxa"/>
          </w:tcPr>
          <w:p w14:paraId="114DEC99" w14:textId="3493458A" w:rsidR="00956934" w:rsidRPr="00956934" w:rsidRDefault="00956934" w:rsidP="0095693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757A7422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517AB180" w14:textId="77777777" w:rsidTr="00B04889">
        <w:tc>
          <w:tcPr>
            <w:tcW w:w="850" w:type="dxa"/>
            <w:vAlign w:val="center"/>
          </w:tcPr>
          <w:p w14:paraId="3AC72625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050F3B3A" w14:textId="4771676E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34C74">
              <w:rPr>
                <w:rFonts w:ascii="Verdana" w:hAnsi="Verdana"/>
              </w:rPr>
              <w:t>Producent aparatu posiada jednocześnie w swojej ofercie katalogowej zestawy odczynników dostosowane i zoptymalizowane do pracy na oferowanym aparacie bez względu na rodzaj używanego</w:t>
            </w:r>
            <w:r w:rsidRPr="00734C74">
              <w:rPr>
                <w:rFonts w:ascii="Verdana" w:hAnsi="Verdana"/>
                <w:spacing w:val="-2"/>
              </w:rPr>
              <w:t xml:space="preserve"> </w:t>
            </w:r>
            <w:r w:rsidRPr="00734C74">
              <w:rPr>
                <w:rFonts w:ascii="Verdana" w:hAnsi="Verdana"/>
              </w:rPr>
              <w:t>bloku</w:t>
            </w:r>
          </w:p>
        </w:tc>
        <w:tc>
          <w:tcPr>
            <w:tcW w:w="1700" w:type="dxa"/>
          </w:tcPr>
          <w:p w14:paraId="345FD51F" w14:textId="10DF9228" w:rsidR="00956934" w:rsidRPr="00956934" w:rsidRDefault="00956934" w:rsidP="0095693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5B7FD0D0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125DEB6E" w14:textId="77777777" w:rsidTr="00B04889">
        <w:tc>
          <w:tcPr>
            <w:tcW w:w="850" w:type="dxa"/>
            <w:vAlign w:val="center"/>
          </w:tcPr>
          <w:p w14:paraId="6AF85197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  <w:bookmarkStart w:id="3" w:name="_Hlk78273093"/>
          </w:p>
        </w:tc>
        <w:tc>
          <w:tcPr>
            <w:tcW w:w="6365" w:type="dxa"/>
            <w:vAlign w:val="center"/>
          </w:tcPr>
          <w:p w14:paraId="03FEF42F" w14:textId="77777777" w:rsidR="00956934" w:rsidRPr="003E4D55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3E4D55">
              <w:rPr>
                <w:rFonts w:ascii="Verdana" w:hAnsi="Verdana" w:cs="Arial"/>
                <w:lang w:eastAsia="pl-PL"/>
              </w:rPr>
              <w:t>Wyposażenie aparatu:</w:t>
            </w:r>
          </w:p>
          <w:p w14:paraId="0C79D9C6" w14:textId="77777777" w:rsidR="00956934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komputer do sterowania aparatem i analizy danych </w:t>
            </w:r>
          </w:p>
          <w:p w14:paraId="29EEAED3" w14:textId="3A8E9F16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o parametrach:</w:t>
            </w:r>
          </w:p>
          <w:p w14:paraId="255FFE80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44B5A9FF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Procesor osiągający w teście </w:t>
            </w:r>
            <w:proofErr w:type="spellStart"/>
            <w:r w:rsidRPr="000A66B1">
              <w:rPr>
                <w:rFonts w:ascii="Verdana" w:hAnsi="Verdana" w:cs="Arial"/>
                <w:lang w:eastAsia="pl-PL"/>
              </w:rPr>
              <w:t>PassMark</w:t>
            </w:r>
            <w:proofErr w:type="spellEnd"/>
            <w:r w:rsidRPr="000A66B1">
              <w:rPr>
                <w:rFonts w:ascii="Verdana" w:hAnsi="Verdana" w:cs="Arial"/>
                <w:lang w:eastAsia="pl-PL"/>
              </w:rPr>
              <w:t xml:space="preserve"> Performance Test,  co najmniej 9 500 punktów</w:t>
            </w:r>
          </w:p>
          <w:p w14:paraId="08477135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37CEC25D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Pamięć operacyjna: min. 16 GB RAM,  DDR4 </w:t>
            </w:r>
          </w:p>
          <w:p w14:paraId="120347E6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Dyski twarde:</w:t>
            </w:r>
          </w:p>
          <w:p w14:paraId="22E9FB6D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1 szt. min. 500 GB 7200 </w:t>
            </w:r>
            <w:proofErr w:type="spellStart"/>
            <w:r w:rsidRPr="000A66B1">
              <w:rPr>
                <w:rFonts w:ascii="Verdana" w:hAnsi="Verdana" w:cs="Arial"/>
                <w:lang w:eastAsia="pl-PL"/>
              </w:rPr>
              <w:t>obr</w:t>
            </w:r>
            <w:proofErr w:type="spellEnd"/>
            <w:r w:rsidRPr="000A66B1">
              <w:rPr>
                <w:rFonts w:ascii="Verdana" w:hAnsi="Verdana" w:cs="Arial"/>
                <w:lang w:eastAsia="pl-PL"/>
              </w:rPr>
              <w:t>./min 3,5 cala SATA HDD,</w:t>
            </w:r>
          </w:p>
          <w:p w14:paraId="055F5945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1 szt. min. 1 TB 7200 </w:t>
            </w:r>
            <w:proofErr w:type="spellStart"/>
            <w:r w:rsidRPr="000A66B1">
              <w:rPr>
                <w:rFonts w:ascii="Verdana" w:hAnsi="Verdana" w:cs="Arial"/>
                <w:lang w:eastAsia="pl-PL"/>
              </w:rPr>
              <w:t>obr</w:t>
            </w:r>
            <w:proofErr w:type="spellEnd"/>
            <w:r w:rsidRPr="000A66B1">
              <w:rPr>
                <w:rFonts w:ascii="Verdana" w:hAnsi="Verdana" w:cs="Arial"/>
                <w:lang w:eastAsia="pl-PL"/>
              </w:rPr>
              <w:t>./min 3,5 cala SATA HDD</w:t>
            </w:r>
          </w:p>
          <w:p w14:paraId="35F06949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258FF5CC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Napęd optyczny: nagrywarka 9,5 mm </w:t>
            </w:r>
            <w:proofErr w:type="spellStart"/>
            <w:r w:rsidRPr="000A66B1">
              <w:rPr>
                <w:rFonts w:ascii="Verdana" w:hAnsi="Verdana" w:cs="Arial"/>
                <w:lang w:eastAsia="pl-PL"/>
              </w:rPr>
              <w:t>SuperMulti</w:t>
            </w:r>
            <w:proofErr w:type="spellEnd"/>
            <w:r w:rsidRPr="000A66B1">
              <w:rPr>
                <w:rFonts w:ascii="Verdana" w:hAnsi="Verdana" w:cs="Arial"/>
                <w:lang w:eastAsia="pl-PL"/>
              </w:rPr>
              <w:t xml:space="preserve"> DVDRW 600/800 Tower, zaw. I / O: min. 2 USB 2.0 z przodu + min.5 USB 2.0 z tyłu</w:t>
            </w:r>
          </w:p>
          <w:p w14:paraId="6EB345DF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1ED56BAD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LAN: połączenie sieciowe  </w:t>
            </w:r>
            <w:proofErr w:type="spellStart"/>
            <w:r w:rsidRPr="000A66B1">
              <w:rPr>
                <w:rFonts w:ascii="Verdana" w:hAnsi="Verdana" w:cs="Arial"/>
                <w:lang w:eastAsia="pl-PL"/>
              </w:rPr>
              <w:t>PCIe</w:t>
            </w:r>
            <w:proofErr w:type="spellEnd"/>
            <w:r w:rsidRPr="000A66B1">
              <w:rPr>
                <w:rFonts w:ascii="Verdana" w:hAnsi="Verdana" w:cs="Arial"/>
                <w:lang w:eastAsia="pl-PL"/>
              </w:rPr>
              <w:t xml:space="preserve"> x1 </w:t>
            </w:r>
            <w:proofErr w:type="spellStart"/>
            <w:r w:rsidRPr="000A66B1">
              <w:rPr>
                <w:rFonts w:ascii="Verdana" w:hAnsi="Verdana" w:cs="Arial"/>
                <w:lang w:eastAsia="pl-PL"/>
              </w:rPr>
              <w:t>Gb</w:t>
            </w:r>
            <w:proofErr w:type="spellEnd"/>
            <w:r w:rsidRPr="000A66B1">
              <w:rPr>
                <w:rFonts w:ascii="Verdana" w:hAnsi="Verdana" w:cs="Arial"/>
                <w:lang w:eastAsia="pl-PL"/>
              </w:rPr>
              <w:t xml:space="preserve"> NIC</w:t>
            </w:r>
          </w:p>
          <w:p w14:paraId="6E8C5FE3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</w:p>
          <w:p w14:paraId="7C909A25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2 porty szeregowe</w:t>
            </w:r>
          </w:p>
          <w:p w14:paraId="7E2F432F" w14:textId="77777777" w:rsidR="00956934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Klawiatura przewodowa- USB, Mysz optyczna-  USB</w:t>
            </w:r>
          </w:p>
          <w:p w14:paraId="52767686" w14:textId="0C85A59E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 xml:space="preserve"> Monitor:</w:t>
            </w:r>
          </w:p>
          <w:p w14:paraId="25ADE0E7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TFT Monitor 19", rozdzielczość: 1280 x 1024</w:t>
            </w:r>
          </w:p>
          <w:p w14:paraId="1A99B8D0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System operacyjny:</w:t>
            </w:r>
          </w:p>
          <w:p w14:paraId="1653D490" w14:textId="77777777" w:rsidR="00956934" w:rsidRPr="000A66B1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System operacyjny umożliwiający prawidłową pracę urządzenia</w:t>
            </w:r>
          </w:p>
          <w:p w14:paraId="535F02BE" w14:textId="1F193702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0A66B1">
              <w:rPr>
                <w:rFonts w:ascii="Verdana" w:hAnsi="Verdana" w:cs="Arial"/>
                <w:lang w:eastAsia="pl-PL"/>
              </w:rPr>
              <w:t>dedykowane oprogramowanie do obsługi i analizy</w:t>
            </w:r>
          </w:p>
        </w:tc>
        <w:tc>
          <w:tcPr>
            <w:tcW w:w="1700" w:type="dxa"/>
          </w:tcPr>
          <w:p w14:paraId="7EF91AA5" w14:textId="6BF6C5E5" w:rsidR="00956934" w:rsidRPr="00956934" w:rsidRDefault="00956934" w:rsidP="0095693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35803429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bookmarkEnd w:id="3"/>
      <w:tr w:rsidR="00956934" w:rsidRPr="00CE7868" w14:paraId="3BDC8382" w14:textId="5E92C777" w:rsidTr="00824E35">
        <w:tc>
          <w:tcPr>
            <w:tcW w:w="850" w:type="dxa"/>
            <w:vAlign w:val="center"/>
          </w:tcPr>
          <w:p w14:paraId="79E693C3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1DBFA0A5" w14:textId="5065A49C" w:rsidR="00956934" w:rsidRPr="008D398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strike/>
                <w:color w:val="00B050"/>
                <w:lang w:eastAsia="pl-PL"/>
              </w:rPr>
            </w:pPr>
            <w:r w:rsidRPr="008D398B">
              <w:rPr>
                <w:rFonts w:ascii="Verdana" w:hAnsi="Verdana"/>
                <w:strike/>
                <w:color w:val="00B050"/>
              </w:rPr>
              <w:t>Możliwość obserwowania przeprowadzanej reakcji PCR na bieżąco podczas jej trwania (online) bez konieczności wcześniejszego opisu</w:t>
            </w:r>
            <w:r w:rsidRPr="008D398B">
              <w:rPr>
                <w:rFonts w:ascii="Verdana" w:hAnsi="Verdana"/>
                <w:strike/>
                <w:color w:val="00B050"/>
                <w:spacing w:val="-4"/>
              </w:rPr>
              <w:t xml:space="preserve"> </w:t>
            </w:r>
            <w:r w:rsidRPr="008D398B">
              <w:rPr>
                <w:rFonts w:ascii="Verdana" w:hAnsi="Verdana"/>
                <w:strike/>
                <w:color w:val="00B050"/>
              </w:rPr>
              <w:t>próbek.</w:t>
            </w:r>
          </w:p>
        </w:tc>
        <w:tc>
          <w:tcPr>
            <w:tcW w:w="1700" w:type="dxa"/>
          </w:tcPr>
          <w:p w14:paraId="5B8296B5" w14:textId="10955FB7" w:rsidR="00956934" w:rsidRPr="00986C18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strike/>
                <w:color w:val="00B050"/>
                <w:lang w:eastAsia="pl-PL"/>
              </w:rPr>
            </w:pPr>
            <w:r w:rsidRPr="00986C18">
              <w:rPr>
                <w:rFonts w:ascii="Verdana" w:hAnsi="Verdana" w:cstheme="minorHAnsi"/>
                <w:strike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3FFB0409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5055DD76" w14:textId="1BD6A503" w:rsidTr="00824E35">
        <w:tc>
          <w:tcPr>
            <w:tcW w:w="850" w:type="dxa"/>
            <w:vAlign w:val="center"/>
          </w:tcPr>
          <w:p w14:paraId="15ADDF55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4A5D6FD5" w14:textId="6668D182" w:rsidR="00956934" w:rsidRPr="008D398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strike/>
                <w:color w:val="00B050"/>
                <w:lang w:eastAsia="pl-PL"/>
              </w:rPr>
            </w:pPr>
            <w:r w:rsidRPr="008D398B">
              <w:rPr>
                <w:rFonts w:ascii="Verdana" w:hAnsi="Verdana"/>
                <w:strike/>
                <w:color w:val="00B050"/>
              </w:rPr>
              <w:t>Możliwość sterowania przebiegiem reakcji w czasie jej trwania poprzez dodanie dowolnej liczby dodatkowych cykli lub wcześniejsze jej zakończenie zależnie od obserwowanych na bieżąco danych.</w:t>
            </w:r>
          </w:p>
        </w:tc>
        <w:tc>
          <w:tcPr>
            <w:tcW w:w="1700" w:type="dxa"/>
          </w:tcPr>
          <w:p w14:paraId="7D9821CE" w14:textId="4D85B9E2" w:rsidR="00956934" w:rsidRPr="00986C18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strike/>
                <w:color w:val="00B050"/>
                <w:lang w:eastAsia="pl-PL"/>
              </w:rPr>
            </w:pPr>
            <w:r w:rsidRPr="00986C18">
              <w:rPr>
                <w:rFonts w:ascii="Verdana" w:hAnsi="Verdana" w:cstheme="minorHAnsi"/>
                <w:strike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14853278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CE7868" w14:paraId="3CBD9547" w14:textId="54EDD8EB" w:rsidTr="00824E35">
        <w:tc>
          <w:tcPr>
            <w:tcW w:w="850" w:type="dxa"/>
            <w:vAlign w:val="center"/>
          </w:tcPr>
          <w:p w14:paraId="091DDB00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ind w:left="499" w:hanging="357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</w:tcPr>
          <w:p w14:paraId="59674E63" w14:textId="5E3A4416" w:rsidR="00956934" w:rsidRPr="008D398B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strike/>
                <w:color w:val="00B050"/>
                <w:lang w:eastAsia="pl-PL"/>
              </w:rPr>
            </w:pPr>
            <w:r w:rsidRPr="008D398B">
              <w:rPr>
                <w:rFonts w:ascii="Verdana" w:hAnsi="Verdana"/>
                <w:strike/>
                <w:color w:val="00B050"/>
              </w:rPr>
              <w:t>Możliwość śledzenia fluorescencji dla każdej próbki podczas reakcji zarówno w zależności od czasu (krzywe fluorescencji) jak i cyklu (krzywe</w:t>
            </w:r>
            <w:r w:rsidRPr="008D398B">
              <w:rPr>
                <w:rFonts w:ascii="Verdana" w:hAnsi="Verdana"/>
                <w:strike/>
                <w:color w:val="00B050"/>
                <w:spacing w:val="-3"/>
              </w:rPr>
              <w:t xml:space="preserve"> </w:t>
            </w:r>
            <w:r w:rsidRPr="008D398B">
              <w:rPr>
                <w:rFonts w:ascii="Verdana" w:hAnsi="Verdana"/>
                <w:strike/>
                <w:color w:val="00B050"/>
              </w:rPr>
              <w:t>amplifikacji)</w:t>
            </w:r>
          </w:p>
        </w:tc>
        <w:tc>
          <w:tcPr>
            <w:tcW w:w="1700" w:type="dxa"/>
          </w:tcPr>
          <w:p w14:paraId="6B371F6D" w14:textId="1E38FB1B" w:rsidR="00956934" w:rsidRPr="00986C18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strike/>
                <w:color w:val="00B050"/>
                <w:lang w:eastAsia="pl-PL"/>
              </w:rPr>
            </w:pPr>
            <w:r w:rsidRPr="00986C18">
              <w:rPr>
                <w:rFonts w:ascii="Verdana" w:hAnsi="Verdana" w:cstheme="minorHAnsi"/>
                <w:strike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43A79978" w14:textId="77777777" w:rsidR="00956934" w:rsidRPr="00CE7868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AE0324" w14:paraId="64707D69" w14:textId="5F9C5AB1" w:rsidTr="00824E35">
        <w:tc>
          <w:tcPr>
            <w:tcW w:w="850" w:type="dxa"/>
            <w:vAlign w:val="center"/>
          </w:tcPr>
          <w:p w14:paraId="586F896F" w14:textId="77777777" w:rsidR="00956934" w:rsidRPr="00CE7868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49F85D90" w14:textId="3A1D330E" w:rsidR="00956934" w:rsidRPr="00CE7868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AE0324">
              <w:rPr>
                <w:rFonts w:ascii="Verdana" w:hAnsi="Verdana" w:cs="Arial"/>
                <w:lang w:eastAsia="pl-PL"/>
              </w:rPr>
              <w:t>Autoryzowany serwis gwarancyjny i pogwarancyjny.</w:t>
            </w:r>
          </w:p>
        </w:tc>
        <w:tc>
          <w:tcPr>
            <w:tcW w:w="1700" w:type="dxa"/>
          </w:tcPr>
          <w:p w14:paraId="582A28EA" w14:textId="0B05F2C9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0C50300A" w14:textId="77777777" w:rsidR="00956934" w:rsidRPr="00AE0324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956934" w:rsidRPr="00AE0324" w14:paraId="2CBF9023" w14:textId="77777777" w:rsidTr="00824E35">
        <w:tc>
          <w:tcPr>
            <w:tcW w:w="850" w:type="dxa"/>
            <w:vAlign w:val="center"/>
          </w:tcPr>
          <w:p w14:paraId="36C182A0" w14:textId="77777777" w:rsidR="00956934" w:rsidRPr="00AE0324" w:rsidRDefault="00956934" w:rsidP="0095693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365" w:type="dxa"/>
            <w:vAlign w:val="center"/>
          </w:tcPr>
          <w:p w14:paraId="38BD165B" w14:textId="219BBBE6" w:rsidR="00956934" w:rsidRPr="00AE0324" w:rsidRDefault="00956934" w:rsidP="0095693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G</w:t>
            </w:r>
            <w:r w:rsidRPr="00AE0324">
              <w:rPr>
                <w:rFonts w:ascii="Verdana" w:hAnsi="Verdana" w:cs="Arial"/>
                <w:lang w:eastAsia="pl-PL"/>
              </w:rPr>
              <w:t>warancj</w:t>
            </w:r>
            <w:r>
              <w:rPr>
                <w:rFonts w:ascii="Verdana" w:hAnsi="Verdana" w:cs="Arial"/>
                <w:lang w:eastAsia="pl-PL"/>
              </w:rPr>
              <w:t>a: 60 miesięcy</w:t>
            </w:r>
            <w:r w:rsidRPr="00AE0324">
              <w:rPr>
                <w:rFonts w:ascii="Verdana" w:hAnsi="Verdana" w:cs="Arial"/>
                <w:lang w:eastAsia="pl-PL"/>
              </w:rPr>
              <w:t>.</w:t>
            </w:r>
          </w:p>
        </w:tc>
        <w:tc>
          <w:tcPr>
            <w:tcW w:w="1700" w:type="dxa"/>
          </w:tcPr>
          <w:p w14:paraId="490F7FEB" w14:textId="7E3FB06E" w:rsidR="00956934" w:rsidRPr="00956934" w:rsidRDefault="00956934" w:rsidP="00956934">
            <w:pPr>
              <w:spacing w:after="0" w:line="240" w:lineRule="auto"/>
              <w:ind w:left="360" w:firstLine="258"/>
              <w:rPr>
                <w:rFonts w:ascii="Verdana" w:hAnsi="Verdana" w:cs="Arial"/>
                <w:color w:val="00B050"/>
                <w:lang w:eastAsia="pl-PL"/>
              </w:rPr>
            </w:pPr>
            <w:r w:rsidRPr="00956934">
              <w:rPr>
                <w:rFonts w:ascii="Verdana" w:hAnsi="Verdana" w:cstheme="minorHAnsi"/>
                <w:color w:val="00B050"/>
                <w:sz w:val="18"/>
                <w:szCs w:val="18"/>
              </w:rPr>
              <w:t>tak</w:t>
            </w:r>
          </w:p>
        </w:tc>
        <w:tc>
          <w:tcPr>
            <w:tcW w:w="1859" w:type="dxa"/>
          </w:tcPr>
          <w:p w14:paraId="72AB328F" w14:textId="77777777" w:rsidR="00956934" w:rsidRPr="00AE0324" w:rsidRDefault="00956934" w:rsidP="0095693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58CCAC95" w14:textId="77777777" w:rsidR="007F64B3" w:rsidRPr="00746D3E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1F7F886B" w14:textId="2F10234D" w:rsidR="00A84E4A" w:rsidRPr="00F0268F" w:rsidRDefault="009B76A5" w:rsidP="009871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609D9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4" w:name="_Hlk64651679"/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być podpisan</w:t>
      </w:r>
      <w:r>
        <w:rPr>
          <w:rFonts w:ascii="Verdana" w:hAnsi="Verdana"/>
          <w:b/>
          <w:bCs/>
          <w:i/>
          <w:iCs/>
          <w:sz w:val="18"/>
          <w:szCs w:val="18"/>
        </w:rPr>
        <w:t>y</w:t>
      </w:r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kwalifikowanym podpisem elektronicznym.</w:t>
      </w:r>
      <w:bookmarkEnd w:id="4"/>
    </w:p>
    <w:sectPr w:rsidR="00A84E4A" w:rsidRPr="00F0268F" w:rsidSect="002609D9">
      <w:headerReference w:type="first" r:id="rId11"/>
      <w:footerReference w:type="first" r:id="rId12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94B4" w14:textId="77777777" w:rsidR="00BC144F" w:rsidRDefault="00BC144F" w:rsidP="00886F6C">
      <w:pPr>
        <w:spacing w:after="0" w:line="240" w:lineRule="auto"/>
      </w:pPr>
      <w:r>
        <w:separator/>
      </w:r>
    </w:p>
  </w:endnote>
  <w:endnote w:type="continuationSeparator" w:id="0">
    <w:p w14:paraId="396B6B2A" w14:textId="77777777" w:rsidR="00BC144F" w:rsidRDefault="00BC144F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7523" w14:textId="77777777" w:rsidR="00BC144F" w:rsidRDefault="00BC144F" w:rsidP="00886F6C">
      <w:pPr>
        <w:spacing w:after="0" w:line="240" w:lineRule="auto"/>
      </w:pPr>
      <w:r>
        <w:separator/>
      </w:r>
    </w:p>
  </w:footnote>
  <w:footnote w:type="continuationSeparator" w:id="0">
    <w:p w14:paraId="101CE850" w14:textId="77777777" w:rsidR="00BC144F" w:rsidRDefault="00BC144F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3F66BA35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bookmarkStart w:id="5" w:name="_Hlk81396934"/>
    <w:bookmarkStart w:id="6" w:name="_Hlk81396935"/>
    <w:bookmarkStart w:id="7" w:name="_Hlk81396936"/>
    <w:bookmarkStart w:id="8" w:name="_Hlk81396937"/>
    <w:bookmarkStart w:id="9" w:name="_Hlk81396938"/>
    <w:bookmarkStart w:id="10" w:name="_Hlk81396939"/>
    <w:bookmarkStart w:id="11" w:name="_Hlk81396940"/>
    <w:bookmarkStart w:id="12" w:name="_Hlk81396941"/>
    <w:bookmarkStart w:id="13" w:name="_Hlk81396942"/>
    <w:bookmarkStart w:id="14" w:name="_Hlk81396943"/>
    <w:bookmarkStart w:id="15" w:name="_Hlk81396944"/>
    <w:bookmarkStart w:id="16" w:name="_Hlk81396945"/>
    <w:bookmarkStart w:id="17" w:name="_Hlk81396946"/>
    <w:bookmarkStart w:id="18" w:name="_Hlk81396947"/>
    <w:bookmarkStart w:id="19" w:name="_Hlk81396948"/>
    <w:bookmarkStart w:id="20" w:name="_Hlk81396949"/>
    <w:bookmarkStart w:id="21" w:name="_Hlk82515397"/>
    <w:bookmarkStart w:id="22" w:name="_Hlk82515398"/>
    <w:bookmarkStart w:id="23" w:name="_Hlk82515399"/>
    <w:bookmarkStart w:id="24" w:name="_Hlk82515400"/>
    <w:bookmarkStart w:id="25" w:name="_Hlk82515401"/>
    <w:bookmarkStart w:id="26" w:name="_Hlk82515402"/>
    <w:bookmarkStart w:id="27" w:name="_Hlk82515412"/>
    <w:bookmarkStart w:id="28" w:name="_Hlk82515413"/>
    <w:bookmarkStart w:id="29" w:name="_Hlk82515439"/>
    <w:bookmarkStart w:id="30" w:name="_Hlk82515440"/>
    <w:bookmarkStart w:id="31" w:name="_Hlk82515441"/>
    <w:bookmarkStart w:id="32" w:name="_Hlk82515442"/>
    <w:bookmarkStart w:id="33" w:name="_Hlk82515443"/>
    <w:bookmarkStart w:id="34" w:name="_Hlk82515444"/>
    <w:bookmarkStart w:id="35" w:name="_Hlk82515445"/>
    <w:bookmarkStart w:id="36" w:name="_Hlk82515446"/>
    <w:bookmarkStart w:id="37" w:name="_Hlk82515472"/>
    <w:bookmarkStart w:id="38" w:name="_Hlk82515473"/>
    <w:bookmarkStart w:id="39" w:name="_Hlk82515474"/>
    <w:bookmarkStart w:id="40" w:name="_Hlk82515475"/>
    <w:bookmarkStart w:id="41" w:name="_Hlk82515476"/>
    <w:bookmarkStart w:id="42" w:name="_Hlk82515477"/>
    <w:bookmarkStart w:id="43" w:name="_Hlk82515478"/>
    <w:bookmarkStart w:id="44" w:name="_Hlk82515479"/>
    <w:r w:rsidRPr="00886F6C">
      <w:rPr>
        <w:rFonts w:cs="Times New Roman"/>
        <w:sz w:val="18"/>
        <w:szCs w:val="18"/>
      </w:rPr>
      <w:t>Projekt „</w:t>
    </w:r>
    <w:bookmarkStart w:id="45" w:name="_Hlk77598052"/>
    <w:proofErr w:type="spellStart"/>
    <w:r w:rsidRPr="00886F6C">
      <w:rPr>
        <w:rFonts w:cs="Times New Roman"/>
        <w:sz w:val="18"/>
        <w:szCs w:val="18"/>
      </w:rPr>
      <w:t>BRaIn</w:t>
    </w:r>
    <w:proofErr w:type="spellEnd"/>
    <w:r w:rsidRPr="00886F6C">
      <w:rPr>
        <w:rFonts w:cs="Times New Roman"/>
        <w:sz w:val="18"/>
        <w:szCs w:val="18"/>
      </w:rPr>
      <w:t xml:space="preserve"> – Badania Rozwój Innowacje w łódzkim kampusie biomedycyn</w:t>
    </w:r>
    <w:r w:rsidR="00806685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45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150E"/>
    <w:multiLevelType w:val="hybridMultilevel"/>
    <w:tmpl w:val="3B2ED32E"/>
    <w:lvl w:ilvl="0" w:tplc="056681A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41662"/>
    <w:multiLevelType w:val="hybridMultilevel"/>
    <w:tmpl w:val="A1A4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5"/>
  </w:num>
  <w:num w:numId="4">
    <w:abstractNumId w:val="54"/>
  </w:num>
  <w:num w:numId="5">
    <w:abstractNumId w:val="37"/>
  </w:num>
  <w:num w:numId="6">
    <w:abstractNumId w:val="39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</w:num>
  <w:num w:numId="9">
    <w:abstractNumId w:val="12"/>
  </w:num>
  <w:num w:numId="10">
    <w:abstractNumId w:val="11"/>
  </w:num>
  <w:num w:numId="11">
    <w:abstractNumId w:val="46"/>
  </w:num>
  <w:num w:numId="12">
    <w:abstractNumId w:val="30"/>
  </w:num>
  <w:num w:numId="13">
    <w:abstractNumId w:val="14"/>
  </w:num>
  <w:num w:numId="14">
    <w:abstractNumId w:val="6"/>
  </w:num>
  <w:num w:numId="15">
    <w:abstractNumId w:val="15"/>
  </w:num>
  <w:num w:numId="16">
    <w:abstractNumId w:val="42"/>
  </w:num>
  <w:num w:numId="17">
    <w:abstractNumId w:val="40"/>
  </w:num>
  <w:num w:numId="18">
    <w:abstractNumId w:val="50"/>
  </w:num>
  <w:num w:numId="19">
    <w:abstractNumId w:val="58"/>
  </w:num>
  <w:num w:numId="20">
    <w:abstractNumId w:val="47"/>
  </w:num>
  <w:num w:numId="21">
    <w:abstractNumId w:val="0"/>
  </w:num>
  <w:num w:numId="22">
    <w:abstractNumId w:val="27"/>
  </w:num>
  <w:num w:numId="23">
    <w:abstractNumId w:val="4"/>
  </w:num>
  <w:num w:numId="24">
    <w:abstractNumId w:val="31"/>
  </w:num>
  <w:num w:numId="25">
    <w:abstractNumId w:val="23"/>
  </w:num>
  <w:num w:numId="26">
    <w:abstractNumId w:val="51"/>
  </w:num>
  <w:num w:numId="27">
    <w:abstractNumId w:val="7"/>
  </w:num>
  <w:num w:numId="28">
    <w:abstractNumId w:val="1"/>
  </w:num>
  <w:num w:numId="29">
    <w:abstractNumId w:val="26"/>
  </w:num>
  <w:num w:numId="30">
    <w:abstractNumId w:val="17"/>
  </w:num>
  <w:num w:numId="31">
    <w:abstractNumId w:val="1"/>
  </w:num>
  <w:num w:numId="32">
    <w:abstractNumId w:val="25"/>
  </w:num>
  <w:num w:numId="33">
    <w:abstractNumId w:val="18"/>
  </w:num>
  <w:num w:numId="34">
    <w:abstractNumId w:val="21"/>
  </w:num>
  <w:num w:numId="35">
    <w:abstractNumId w:val="53"/>
  </w:num>
  <w:num w:numId="36">
    <w:abstractNumId w:val="29"/>
  </w:num>
  <w:num w:numId="37">
    <w:abstractNumId w:val="43"/>
  </w:num>
  <w:num w:numId="38">
    <w:abstractNumId w:val="38"/>
  </w:num>
  <w:num w:numId="39">
    <w:abstractNumId w:val="10"/>
  </w:num>
  <w:num w:numId="40">
    <w:abstractNumId w:val="33"/>
  </w:num>
  <w:num w:numId="41">
    <w:abstractNumId w:val="9"/>
  </w:num>
  <w:num w:numId="42">
    <w:abstractNumId w:val="57"/>
  </w:num>
  <w:num w:numId="43">
    <w:abstractNumId w:val="41"/>
  </w:num>
  <w:num w:numId="44">
    <w:abstractNumId w:val="35"/>
  </w:num>
  <w:num w:numId="45">
    <w:abstractNumId w:val="32"/>
  </w:num>
  <w:num w:numId="46">
    <w:abstractNumId w:val="52"/>
  </w:num>
  <w:num w:numId="47">
    <w:abstractNumId w:val="5"/>
  </w:num>
  <w:num w:numId="48">
    <w:abstractNumId w:val="8"/>
  </w:num>
  <w:num w:numId="49">
    <w:abstractNumId w:val="56"/>
  </w:num>
  <w:num w:numId="50">
    <w:abstractNumId w:val="36"/>
  </w:num>
  <w:num w:numId="51">
    <w:abstractNumId w:val="44"/>
  </w:num>
  <w:num w:numId="52">
    <w:abstractNumId w:val="3"/>
  </w:num>
  <w:num w:numId="53">
    <w:abstractNumId w:val="22"/>
  </w:num>
  <w:num w:numId="54">
    <w:abstractNumId w:val="28"/>
  </w:num>
  <w:num w:numId="55">
    <w:abstractNumId w:val="48"/>
  </w:num>
  <w:num w:numId="56">
    <w:abstractNumId w:val="55"/>
  </w:num>
  <w:num w:numId="57">
    <w:abstractNumId w:val="13"/>
  </w:num>
  <w:num w:numId="58">
    <w:abstractNumId w:val="16"/>
  </w:num>
  <w:num w:numId="59">
    <w:abstractNumId w:val="19"/>
  </w:num>
  <w:num w:numId="60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52CCE"/>
    <w:rsid w:val="0005420F"/>
    <w:rsid w:val="000613E7"/>
    <w:rsid w:val="00062BA5"/>
    <w:rsid w:val="000962C7"/>
    <w:rsid w:val="000A66B1"/>
    <w:rsid w:val="000C021A"/>
    <w:rsid w:val="000C5956"/>
    <w:rsid w:val="000C7B92"/>
    <w:rsid w:val="000E3C43"/>
    <w:rsid w:val="000E7369"/>
    <w:rsid w:val="00100889"/>
    <w:rsid w:val="00107FB5"/>
    <w:rsid w:val="00111599"/>
    <w:rsid w:val="001412EF"/>
    <w:rsid w:val="00146526"/>
    <w:rsid w:val="00150D7C"/>
    <w:rsid w:val="0015668E"/>
    <w:rsid w:val="0016454B"/>
    <w:rsid w:val="00165F7C"/>
    <w:rsid w:val="00174209"/>
    <w:rsid w:val="00182AD6"/>
    <w:rsid w:val="0019031F"/>
    <w:rsid w:val="00191CF5"/>
    <w:rsid w:val="00193ACA"/>
    <w:rsid w:val="001A5AC0"/>
    <w:rsid w:val="001B2552"/>
    <w:rsid w:val="001B3675"/>
    <w:rsid w:val="001D0D0A"/>
    <w:rsid w:val="001D1023"/>
    <w:rsid w:val="001D243B"/>
    <w:rsid w:val="001F23D6"/>
    <w:rsid w:val="00200967"/>
    <w:rsid w:val="00211F94"/>
    <w:rsid w:val="00217993"/>
    <w:rsid w:val="00222394"/>
    <w:rsid w:val="00225AEE"/>
    <w:rsid w:val="00247A26"/>
    <w:rsid w:val="002609D9"/>
    <w:rsid w:val="00264116"/>
    <w:rsid w:val="00270992"/>
    <w:rsid w:val="00275B46"/>
    <w:rsid w:val="00281DD5"/>
    <w:rsid w:val="0029148B"/>
    <w:rsid w:val="00292D62"/>
    <w:rsid w:val="002A1ED9"/>
    <w:rsid w:val="002B126E"/>
    <w:rsid w:val="002C256B"/>
    <w:rsid w:val="002D5A8E"/>
    <w:rsid w:val="002E18FC"/>
    <w:rsid w:val="002E49B6"/>
    <w:rsid w:val="002F07B4"/>
    <w:rsid w:val="002F2175"/>
    <w:rsid w:val="002F3826"/>
    <w:rsid w:val="002F7865"/>
    <w:rsid w:val="0030316D"/>
    <w:rsid w:val="00303E1B"/>
    <w:rsid w:val="00312195"/>
    <w:rsid w:val="00314D61"/>
    <w:rsid w:val="00316FF7"/>
    <w:rsid w:val="003250BA"/>
    <w:rsid w:val="00331E41"/>
    <w:rsid w:val="003364A4"/>
    <w:rsid w:val="00342868"/>
    <w:rsid w:val="00342B81"/>
    <w:rsid w:val="00345F1C"/>
    <w:rsid w:val="003518FA"/>
    <w:rsid w:val="00366660"/>
    <w:rsid w:val="00370630"/>
    <w:rsid w:val="00371305"/>
    <w:rsid w:val="00373764"/>
    <w:rsid w:val="00374021"/>
    <w:rsid w:val="00375D5B"/>
    <w:rsid w:val="00377934"/>
    <w:rsid w:val="00381361"/>
    <w:rsid w:val="003908A0"/>
    <w:rsid w:val="00394E9A"/>
    <w:rsid w:val="003A00CC"/>
    <w:rsid w:val="003A2393"/>
    <w:rsid w:val="003A4CCF"/>
    <w:rsid w:val="003A638D"/>
    <w:rsid w:val="003C6732"/>
    <w:rsid w:val="003C6F06"/>
    <w:rsid w:val="003E4D55"/>
    <w:rsid w:val="003E641D"/>
    <w:rsid w:val="00402A8A"/>
    <w:rsid w:val="00402CA5"/>
    <w:rsid w:val="00410265"/>
    <w:rsid w:val="00411BE5"/>
    <w:rsid w:val="0042219E"/>
    <w:rsid w:val="0042791E"/>
    <w:rsid w:val="00430F5F"/>
    <w:rsid w:val="004371A7"/>
    <w:rsid w:val="00446442"/>
    <w:rsid w:val="00453292"/>
    <w:rsid w:val="00461895"/>
    <w:rsid w:val="00466499"/>
    <w:rsid w:val="0047356B"/>
    <w:rsid w:val="00481A62"/>
    <w:rsid w:val="004925FC"/>
    <w:rsid w:val="00496EC7"/>
    <w:rsid w:val="004A3B50"/>
    <w:rsid w:val="004D4546"/>
    <w:rsid w:val="004D6337"/>
    <w:rsid w:val="005100F3"/>
    <w:rsid w:val="005142FB"/>
    <w:rsid w:val="00515663"/>
    <w:rsid w:val="00515F8C"/>
    <w:rsid w:val="00521359"/>
    <w:rsid w:val="00521BC4"/>
    <w:rsid w:val="00526169"/>
    <w:rsid w:val="00540981"/>
    <w:rsid w:val="00572293"/>
    <w:rsid w:val="00592E62"/>
    <w:rsid w:val="005A1B12"/>
    <w:rsid w:val="005B4569"/>
    <w:rsid w:val="005C0A50"/>
    <w:rsid w:val="005C462E"/>
    <w:rsid w:val="005D2075"/>
    <w:rsid w:val="005D5EDA"/>
    <w:rsid w:val="005D7750"/>
    <w:rsid w:val="005E0EF0"/>
    <w:rsid w:val="005E3A9E"/>
    <w:rsid w:val="005E6EA2"/>
    <w:rsid w:val="005F5989"/>
    <w:rsid w:val="005F6635"/>
    <w:rsid w:val="006001FB"/>
    <w:rsid w:val="00603D0F"/>
    <w:rsid w:val="006216BB"/>
    <w:rsid w:val="0062350D"/>
    <w:rsid w:val="0063506C"/>
    <w:rsid w:val="00656BA5"/>
    <w:rsid w:val="00661B5B"/>
    <w:rsid w:val="00683841"/>
    <w:rsid w:val="00693D18"/>
    <w:rsid w:val="00697AD3"/>
    <w:rsid w:val="006C2D42"/>
    <w:rsid w:val="006C380A"/>
    <w:rsid w:val="006C77E6"/>
    <w:rsid w:val="006D4108"/>
    <w:rsid w:val="006F0596"/>
    <w:rsid w:val="006F0ABA"/>
    <w:rsid w:val="00701DC1"/>
    <w:rsid w:val="00746804"/>
    <w:rsid w:val="00746D3E"/>
    <w:rsid w:val="0076391B"/>
    <w:rsid w:val="00781EF0"/>
    <w:rsid w:val="00790116"/>
    <w:rsid w:val="007B238F"/>
    <w:rsid w:val="007B3FE8"/>
    <w:rsid w:val="007C05EF"/>
    <w:rsid w:val="007D53F1"/>
    <w:rsid w:val="007E118E"/>
    <w:rsid w:val="007F1FE0"/>
    <w:rsid w:val="007F64B3"/>
    <w:rsid w:val="008039A2"/>
    <w:rsid w:val="00806685"/>
    <w:rsid w:val="00811A03"/>
    <w:rsid w:val="008120DC"/>
    <w:rsid w:val="00812293"/>
    <w:rsid w:val="008402F3"/>
    <w:rsid w:val="008445A9"/>
    <w:rsid w:val="0084490C"/>
    <w:rsid w:val="008818DA"/>
    <w:rsid w:val="00886F6C"/>
    <w:rsid w:val="00887ABA"/>
    <w:rsid w:val="008A0C4A"/>
    <w:rsid w:val="008A4FAB"/>
    <w:rsid w:val="008B3360"/>
    <w:rsid w:val="008B36BC"/>
    <w:rsid w:val="008D3564"/>
    <w:rsid w:val="008D398B"/>
    <w:rsid w:val="008E62E9"/>
    <w:rsid w:val="00900362"/>
    <w:rsid w:val="00900695"/>
    <w:rsid w:val="00931F1B"/>
    <w:rsid w:val="00942565"/>
    <w:rsid w:val="009438E7"/>
    <w:rsid w:val="00944DEE"/>
    <w:rsid w:val="00954747"/>
    <w:rsid w:val="00956934"/>
    <w:rsid w:val="009608CD"/>
    <w:rsid w:val="00962A58"/>
    <w:rsid w:val="00977266"/>
    <w:rsid w:val="0098398A"/>
    <w:rsid w:val="00986C18"/>
    <w:rsid w:val="009871C7"/>
    <w:rsid w:val="0099059A"/>
    <w:rsid w:val="0099300B"/>
    <w:rsid w:val="0099545D"/>
    <w:rsid w:val="009B16B6"/>
    <w:rsid w:val="009B76A5"/>
    <w:rsid w:val="009D2483"/>
    <w:rsid w:val="009D7979"/>
    <w:rsid w:val="009E4253"/>
    <w:rsid w:val="00A01451"/>
    <w:rsid w:val="00A01618"/>
    <w:rsid w:val="00A116F9"/>
    <w:rsid w:val="00A15D8D"/>
    <w:rsid w:val="00A4221E"/>
    <w:rsid w:val="00A513FF"/>
    <w:rsid w:val="00A52DF5"/>
    <w:rsid w:val="00A56902"/>
    <w:rsid w:val="00A62042"/>
    <w:rsid w:val="00A64537"/>
    <w:rsid w:val="00A84E4A"/>
    <w:rsid w:val="00AB04D3"/>
    <w:rsid w:val="00AB0BD3"/>
    <w:rsid w:val="00AB3DBE"/>
    <w:rsid w:val="00AD1E0C"/>
    <w:rsid w:val="00AE0324"/>
    <w:rsid w:val="00AE23E9"/>
    <w:rsid w:val="00AF696E"/>
    <w:rsid w:val="00B00279"/>
    <w:rsid w:val="00B00FEF"/>
    <w:rsid w:val="00B03BF2"/>
    <w:rsid w:val="00B13C14"/>
    <w:rsid w:val="00B157EB"/>
    <w:rsid w:val="00B226F2"/>
    <w:rsid w:val="00B35F51"/>
    <w:rsid w:val="00B52983"/>
    <w:rsid w:val="00B5429C"/>
    <w:rsid w:val="00B64AC9"/>
    <w:rsid w:val="00B755F9"/>
    <w:rsid w:val="00B76ABD"/>
    <w:rsid w:val="00B869BB"/>
    <w:rsid w:val="00B8782D"/>
    <w:rsid w:val="00BA06C8"/>
    <w:rsid w:val="00BA1CD1"/>
    <w:rsid w:val="00BB1CE1"/>
    <w:rsid w:val="00BC144F"/>
    <w:rsid w:val="00BC2CCB"/>
    <w:rsid w:val="00BC7972"/>
    <w:rsid w:val="00BD4279"/>
    <w:rsid w:val="00BF3960"/>
    <w:rsid w:val="00C014DC"/>
    <w:rsid w:val="00C1540B"/>
    <w:rsid w:val="00C15D9A"/>
    <w:rsid w:val="00C34AE8"/>
    <w:rsid w:val="00C3533B"/>
    <w:rsid w:val="00C44DC4"/>
    <w:rsid w:val="00C5706A"/>
    <w:rsid w:val="00C60183"/>
    <w:rsid w:val="00C645B9"/>
    <w:rsid w:val="00C702A9"/>
    <w:rsid w:val="00C9550C"/>
    <w:rsid w:val="00CC3F68"/>
    <w:rsid w:val="00CD684E"/>
    <w:rsid w:val="00CD75B6"/>
    <w:rsid w:val="00CE7868"/>
    <w:rsid w:val="00CF27EC"/>
    <w:rsid w:val="00D02BA1"/>
    <w:rsid w:val="00D07484"/>
    <w:rsid w:val="00D13507"/>
    <w:rsid w:val="00D23F18"/>
    <w:rsid w:val="00D27945"/>
    <w:rsid w:val="00D458F7"/>
    <w:rsid w:val="00D4685F"/>
    <w:rsid w:val="00D55BCB"/>
    <w:rsid w:val="00D85803"/>
    <w:rsid w:val="00D90803"/>
    <w:rsid w:val="00DB2DFE"/>
    <w:rsid w:val="00DB3F14"/>
    <w:rsid w:val="00DC0CDD"/>
    <w:rsid w:val="00DC49F8"/>
    <w:rsid w:val="00DD5393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13FE3"/>
    <w:rsid w:val="00E17DA6"/>
    <w:rsid w:val="00E44491"/>
    <w:rsid w:val="00E856B3"/>
    <w:rsid w:val="00E90AD1"/>
    <w:rsid w:val="00E96212"/>
    <w:rsid w:val="00EC3918"/>
    <w:rsid w:val="00EC454E"/>
    <w:rsid w:val="00ED518E"/>
    <w:rsid w:val="00F00ED9"/>
    <w:rsid w:val="00F02576"/>
    <w:rsid w:val="00F0268F"/>
    <w:rsid w:val="00F123F1"/>
    <w:rsid w:val="00F21511"/>
    <w:rsid w:val="00F2421E"/>
    <w:rsid w:val="00F30AC5"/>
    <w:rsid w:val="00F35C41"/>
    <w:rsid w:val="00F45C1F"/>
    <w:rsid w:val="00F515AA"/>
    <w:rsid w:val="00F8706E"/>
    <w:rsid w:val="00F91AF2"/>
    <w:rsid w:val="00FA0A16"/>
    <w:rsid w:val="00FA3FC2"/>
    <w:rsid w:val="00FA5DF9"/>
    <w:rsid w:val="00FA5EA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909BD-2C7B-47A7-84A1-63620736B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4</cp:revision>
  <cp:lastPrinted>2021-09-14T11:01:00Z</cp:lastPrinted>
  <dcterms:created xsi:type="dcterms:W3CDTF">2021-09-14T08:51:00Z</dcterms:created>
  <dcterms:modified xsi:type="dcterms:W3CDTF">2021-09-14T11:36:00Z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