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9CAB1" w14:textId="2DD48045" w:rsidR="00066D0C" w:rsidRPr="00AC2AE0" w:rsidRDefault="002A37C1" w:rsidP="00AC2AE0">
      <w:pPr>
        <w:pStyle w:val="Nagwek1"/>
        <w:spacing w:before="2400"/>
        <w:rPr>
          <w:b/>
          <w:bCs/>
          <w:color w:val="000000" w:themeColor="text1"/>
          <w:sz w:val="36"/>
          <w:szCs w:val="36"/>
        </w:rPr>
      </w:pPr>
      <w:r w:rsidRPr="00AC2AE0">
        <w:rPr>
          <w:b/>
          <w:bCs/>
          <w:color w:val="000000" w:themeColor="text1"/>
          <w:sz w:val="36"/>
          <w:szCs w:val="36"/>
        </w:rPr>
        <w:t>SPECYFIKACJA TECHNICZNA WYKONANIA I ODBIORU ROBÓT</w:t>
      </w:r>
    </w:p>
    <w:p w14:paraId="39C12094" w14:textId="04DB2305" w:rsidR="002A37C1" w:rsidRPr="00CA57D6" w:rsidRDefault="002A37C1" w:rsidP="00CA57D6">
      <w:pPr>
        <w:spacing w:before="4320" w:after="240" w:line="276" w:lineRule="auto"/>
        <w:jc w:val="center"/>
        <w:rPr>
          <w:b/>
          <w:bCs/>
          <w:vanish/>
          <w:sz w:val="32"/>
          <w:szCs w:val="32"/>
        </w:rPr>
      </w:pPr>
      <w:r>
        <w:rPr>
          <w:b/>
          <w:bCs/>
          <w:sz w:val="32"/>
          <w:szCs w:val="32"/>
        </w:rPr>
        <w:t>Remont boiska piłkarskiego na terenie kompleksu Orlik 2012 w Plewiskach przy ul. Szkolnej 132</w:t>
      </w:r>
    </w:p>
    <w:p w14:paraId="7A23D60B" w14:textId="008B4BB6" w:rsidR="002A37C1" w:rsidRDefault="002A37C1" w:rsidP="00CA57D6">
      <w:pPr>
        <w:pStyle w:val="Akapitzlist"/>
        <w:numPr>
          <w:ilvl w:val="0"/>
          <w:numId w:val="1"/>
        </w:numPr>
        <w:spacing w:after="240" w:line="276" w:lineRule="auto"/>
        <w:rPr>
          <w:b/>
          <w:bCs/>
        </w:rPr>
      </w:pPr>
      <w:r w:rsidRPr="002A37C1">
        <w:rPr>
          <w:b/>
          <w:bCs/>
          <w:sz w:val="32"/>
          <w:szCs w:val="32"/>
        </w:rPr>
        <w:br w:type="column"/>
      </w:r>
      <w:r w:rsidRPr="002A37C1">
        <w:rPr>
          <w:b/>
          <w:bCs/>
        </w:rPr>
        <w:lastRenderedPageBreak/>
        <w:t xml:space="preserve"> W</w:t>
      </w:r>
      <w:r>
        <w:rPr>
          <w:b/>
          <w:bCs/>
        </w:rPr>
        <w:t>STĘP</w:t>
      </w:r>
    </w:p>
    <w:p w14:paraId="53B1D52E" w14:textId="648F9E39" w:rsidR="002A37C1" w:rsidRPr="002A37C1" w:rsidRDefault="002A37C1" w:rsidP="00CA57D6">
      <w:pPr>
        <w:pStyle w:val="Akapitzlist"/>
        <w:numPr>
          <w:ilvl w:val="1"/>
          <w:numId w:val="1"/>
        </w:numPr>
        <w:spacing w:after="240" w:line="276" w:lineRule="auto"/>
        <w:rPr>
          <w:b/>
          <w:bCs/>
        </w:rPr>
      </w:pPr>
      <w:r>
        <w:rPr>
          <w:b/>
          <w:bCs/>
        </w:rPr>
        <w:t xml:space="preserve"> Przedmiot Specyfikacji technicznej wykonania i odbioru robót </w:t>
      </w:r>
      <w:r w:rsidR="006023C4">
        <w:rPr>
          <w:b/>
          <w:bCs/>
        </w:rPr>
        <w:br/>
      </w:r>
      <w:r w:rsidR="006023C4">
        <w:t xml:space="preserve">Przedmiotem niniejszej </w:t>
      </w:r>
      <w:proofErr w:type="spellStart"/>
      <w:r w:rsidR="006023C4">
        <w:t>STWiOR</w:t>
      </w:r>
      <w:proofErr w:type="spellEnd"/>
      <w:r w:rsidR="006023C4">
        <w:t xml:space="preserve"> są wymagania dotyczące remontu boiska piłkarskiego z trawy syntetycznej na terenie kompleksu Orlik 2012 w Plewiskach przy ul. Szkolnej 132</w:t>
      </w:r>
    </w:p>
    <w:p w14:paraId="5174E68D" w14:textId="4E869848" w:rsidR="002A37C1" w:rsidRDefault="006023C4" w:rsidP="00CA57D6">
      <w:pPr>
        <w:pStyle w:val="Akapitzlist"/>
        <w:numPr>
          <w:ilvl w:val="1"/>
          <w:numId w:val="1"/>
        </w:numPr>
        <w:spacing w:after="240" w:line="276" w:lineRule="auto"/>
        <w:rPr>
          <w:b/>
          <w:bCs/>
        </w:rPr>
      </w:pPr>
      <w:r>
        <w:rPr>
          <w:b/>
          <w:bCs/>
        </w:rPr>
        <w:t xml:space="preserve">Zakres stosowania Specyfikacji technicznej wykonania i odbioru robót </w:t>
      </w:r>
      <w:r>
        <w:br/>
      </w:r>
      <w:proofErr w:type="spellStart"/>
      <w:r>
        <w:t>STWiOR</w:t>
      </w:r>
      <w:proofErr w:type="spellEnd"/>
      <w:r>
        <w:t xml:space="preserve"> stosowana jest jako dokument w postępowaniu o udzielenie zamówienia publicznego ora</w:t>
      </w:r>
      <w:r w:rsidR="00072B54">
        <w:t>z</w:t>
      </w:r>
      <w:r>
        <w:t xml:space="preserve"> przy zleceniu i realizacji robót wymienionych w punkcie 1.1</w:t>
      </w:r>
    </w:p>
    <w:p w14:paraId="36775C87" w14:textId="557B0914" w:rsidR="006023C4" w:rsidRDefault="006023C4" w:rsidP="00CA57D6">
      <w:pPr>
        <w:pStyle w:val="Akapitzlist"/>
        <w:numPr>
          <w:ilvl w:val="1"/>
          <w:numId w:val="1"/>
        </w:numPr>
        <w:spacing w:after="240" w:line="276" w:lineRule="auto"/>
        <w:rPr>
          <w:b/>
          <w:bCs/>
        </w:rPr>
      </w:pPr>
      <w:r>
        <w:rPr>
          <w:b/>
          <w:bCs/>
        </w:rPr>
        <w:t>Zakres robot objętych Specyfikacją techniczną wykonania i odbioru robót</w:t>
      </w:r>
    </w:p>
    <w:p w14:paraId="73BDC9AF" w14:textId="03DFC347" w:rsidR="006023C4" w:rsidRDefault="006023C4" w:rsidP="00CA57D6">
      <w:pPr>
        <w:pStyle w:val="Akapitzlist"/>
        <w:spacing w:after="240" w:line="276" w:lineRule="auto"/>
        <w:ind w:left="792"/>
      </w:pPr>
      <w:r w:rsidRPr="006023C4">
        <w:t xml:space="preserve">Ustalenia zawarte w niniejszej </w:t>
      </w:r>
      <w:proofErr w:type="spellStart"/>
      <w:r>
        <w:t>STWiOR</w:t>
      </w:r>
      <w:proofErr w:type="spellEnd"/>
      <w:r>
        <w:t xml:space="preserve"> dotyczą prowadzenia robot związanych z remontem nawierzchni boiska z trawy syntetycznej na terenie kompleksu Orlik 2012 w Plewiskach przy ul. Szkolnej 132.</w:t>
      </w:r>
    </w:p>
    <w:p w14:paraId="251453E0" w14:textId="3F97DFB6" w:rsidR="006023C4" w:rsidRPr="00AC2AE0" w:rsidRDefault="006023C4" w:rsidP="00CA57D6">
      <w:pPr>
        <w:spacing w:after="240" w:line="276" w:lineRule="auto"/>
        <w:rPr>
          <w:b/>
          <w:bCs/>
        </w:rPr>
      </w:pPr>
      <w:r w:rsidRPr="00AC2AE0">
        <w:rPr>
          <w:b/>
          <w:bCs/>
        </w:rPr>
        <w:t>Zakres robót:</w:t>
      </w:r>
    </w:p>
    <w:p w14:paraId="68597A88" w14:textId="7BE71DDA" w:rsidR="00AC2AE0" w:rsidRDefault="00AC2AE0" w:rsidP="00CA57D6">
      <w:pPr>
        <w:spacing w:after="240" w:line="276" w:lineRule="auto"/>
      </w:pPr>
      <w:r>
        <w:t>Roboty remontowe boiska z trawy polegają na zerwaniu starej nawierzchni z trawy syntetycznej , wywiezieniu i utylizacji materiału z rozbiórki , przygotowaniu podłoża , ułożeniu nowej nawierzchni i wyklejeniu linii boiskowych</w:t>
      </w:r>
    </w:p>
    <w:p w14:paraId="0DD42988" w14:textId="7DC0FD04" w:rsidR="00AC2AE0" w:rsidRDefault="00AC2AE0" w:rsidP="00CA57D6">
      <w:pPr>
        <w:pStyle w:val="Akapitzlist"/>
        <w:numPr>
          <w:ilvl w:val="0"/>
          <w:numId w:val="2"/>
        </w:numPr>
        <w:spacing w:after="240" w:line="276" w:lineRule="auto"/>
      </w:pPr>
      <w:r>
        <w:t>Roboty pomiarowe</w:t>
      </w:r>
    </w:p>
    <w:p w14:paraId="6C618CB1" w14:textId="7AE67E59" w:rsidR="00AC2AE0" w:rsidRDefault="00AC2AE0" w:rsidP="00CA57D6">
      <w:pPr>
        <w:pStyle w:val="Akapitzlist"/>
        <w:numPr>
          <w:ilvl w:val="0"/>
          <w:numId w:val="2"/>
        </w:numPr>
        <w:spacing w:after="240" w:line="276" w:lineRule="auto"/>
      </w:pPr>
      <w:r>
        <w:t>Oznakowanie miejsca robót</w:t>
      </w:r>
    </w:p>
    <w:p w14:paraId="05BDE4D1" w14:textId="513527DF" w:rsidR="00AC2AE0" w:rsidRDefault="00AC2AE0" w:rsidP="00CA57D6">
      <w:pPr>
        <w:pStyle w:val="Akapitzlist"/>
        <w:numPr>
          <w:ilvl w:val="0"/>
          <w:numId w:val="2"/>
        </w:numPr>
        <w:spacing w:after="240" w:line="276" w:lineRule="auto"/>
      </w:pPr>
      <w:r>
        <w:t>Demontaż istniejącej nawierzchni</w:t>
      </w:r>
    </w:p>
    <w:p w14:paraId="5153A3B1" w14:textId="77777777" w:rsidR="00AC2AE0" w:rsidRDefault="00AC2AE0" w:rsidP="00CA57D6">
      <w:pPr>
        <w:pStyle w:val="Akapitzlist"/>
        <w:numPr>
          <w:ilvl w:val="0"/>
          <w:numId w:val="2"/>
        </w:numPr>
        <w:spacing w:after="240" w:line="276" w:lineRule="auto"/>
      </w:pPr>
      <w:r>
        <w:t>Przygotowanie podłoża</w:t>
      </w:r>
    </w:p>
    <w:p w14:paraId="742A5DE3" w14:textId="1034A7C3" w:rsidR="00AC2AE0" w:rsidRDefault="00CA57D6" w:rsidP="00CA57D6">
      <w:pPr>
        <w:pStyle w:val="Akapitzlist"/>
        <w:numPr>
          <w:ilvl w:val="0"/>
          <w:numId w:val="2"/>
        </w:numPr>
        <w:spacing w:after="240" w:line="276" w:lineRule="auto"/>
      </w:pPr>
      <w:r>
        <w:t>Wykonanie nowej nawierzchni z trawy syntetycznej</w:t>
      </w:r>
    </w:p>
    <w:p w14:paraId="62D89D49" w14:textId="35BFD826" w:rsidR="00CA57D6" w:rsidRDefault="00CA57D6" w:rsidP="00CA57D6">
      <w:pPr>
        <w:pStyle w:val="Akapitzlist"/>
        <w:numPr>
          <w:ilvl w:val="0"/>
          <w:numId w:val="2"/>
        </w:numPr>
        <w:spacing w:after="240" w:line="276" w:lineRule="auto"/>
      </w:pPr>
      <w:r>
        <w:t>Roboty porządkowe.</w:t>
      </w:r>
    </w:p>
    <w:p w14:paraId="6B4C5745" w14:textId="64E5B29A" w:rsidR="00CA57D6" w:rsidRPr="001E549D" w:rsidRDefault="00CA57D6" w:rsidP="001E549D">
      <w:pPr>
        <w:pStyle w:val="Akapitzlist"/>
        <w:numPr>
          <w:ilvl w:val="1"/>
          <w:numId w:val="1"/>
        </w:numPr>
        <w:spacing w:before="480" w:after="240" w:line="276" w:lineRule="auto"/>
        <w:ind w:left="788" w:hanging="431"/>
        <w:contextualSpacing w:val="0"/>
        <w:rPr>
          <w:b/>
          <w:bCs/>
        </w:rPr>
      </w:pPr>
      <w:r w:rsidRPr="00CA57D6">
        <w:rPr>
          <w:b/>
          <w:bCs/>
        </w:rPr>
        <w:t>Ogólne postanowienia dotyczące robót</w:t>
      </w:r>
      <w:r w:rsidRPr="00CA57D6">
        <w:rPr>
          <w:b/>
          <w:bCs/>
        </w:rPr>
        <w:br/>
      </w:r>
      <w:r>
        <w:t>Wykonawca jest odpowiedzialny za jakość wykonania oraz zgodność z ST i obowiązującymi normami</w:t>
      </w:r>
      <w:r w:rsidRPr="00CA57D6">
        <w:t>. Ponadto Wykonawca wykona roboty zgodnie z poleceniami Inspektora nadzoru</w:t>
      </w:r>
      <w:r>
        <w:t>. Roboty powinny b</w:t>
      </w:r>
      <w:r w:rsidR="00072B54">
        <w:t>y</w:t>
      </w:r>
      <w:r>
        <w:t>ć wykonane zgodnie z instrukcj</w:t>
      </w:r>
      <w:r w:rsidR="00072B54">
        <w:t>ą</w:t>
      </w:r>
      <w:r>
        <w:t xml:space="preserve"> producenta systemu.</w:t>
      </w:r>
    </w:p>
    <w:p w14:paraId="705A907A" w14:textId="4C2259AA" w:rsidR="001E549D" w:rsidRDefault="001E549D" w:rsidP="001E549D">
      <w:pPr>
        <w:pStyle w:val="Akapitzlist"/>
        <w:numPr>
          <w:ilvl w:val="0"/>
          <w:numId w:val="1"/>
        </w:numPr>
        <w:spacing w:before="480" w:after="120" w:line="276" w:lineRule="auto"/>
        <w:contextualSpacing w:val="0"/>
        <w:rPr>
          <w:b/>
          <w:bCs/>
        </w:rPr>
      </w:pPr>
      <w:r>
        <w:rPr>
          <w:b/>
          <w:bCs/>
        </w:rPr>
        <w:t>MATERIAŁY</w:t>
      </w:r>
    </w:p>
    <w:p w14:paraId="051E580A" w14:textId="77777777" w:rsidR="001E549D" w:rsidRDefault="001E549D" w:rsidP="00EA69A8">
      <w:pPr>
        <w:pStyle w:val="Akapitzlist"/>
        <w:numPr>
          <w:ilvl w:val="1"/>
          <w:numId w:val="1"/>
        </w:numPr>
        <w:spacing w:after="240" w:line="276" w:lineRule="auto"/>
        <w:ind w:left="788" w:hanging="431"/>
        <w:contextualSpacing w:val="0"/>
      </w:pPr>
      <w:r>
        <w:rPr>
          <w:b/>
          <w:bCs/>
        </w:rPr>
        <w:t xml:space="preserve">Materiały </w:t>
      </w:r>
      <w:r>
        <w:rPr>
          <w:b/>
          <w:bCs/>
        </w:rPr>
        <w:br/>
      </w:r>
      <w:proofErr w:type="spellStart"/>
      <w:r w:rsidRPr="001E549D">
        <w:t>Materiały</w:t>
      </w:r>
      <w:proofErr w:type="spellEnd"/>
      <w:r w:rsidRPr="001E549D">
        <w:t xml:space="preserve"> do wykonania należy stosować </w:t>
      </w:r>
      <w:r>
        <w:t>zgodnie z wytycznymi danego systemu:</w:t>
      </w:r>
      <w:r>
        <w:br/>
        <w:t>Trawa syntetyczna:</w:t>
      </w:r>
      <w:r>
        <w:br/>
        <w:t>Dane techniczne:</w:t>
      </w:r>
    </w:p>
    <w:p w14:paraId="4FBF5072" w14:textId="6704B2C2" w:rsidR="00D614C1" w:rsidRPr="001522E7" w:rsidRDefault="00D614C1" w:rsidP="001522E7">
      <w:pPr>
        <w:pStyle w:val="Akapitzlist"/>
        <w:numPr>
          <w:ilvl w:val="2"/>
          <w:numId w:val="1"/>
        </w:numPr>
        <w:spacing w:after="240" w:line="276" w:lineRule="auto"/>
      </w:pPr>
      <w:bookmarkStart w:id="0" w:name="_Hlk157689182"/>
      <w:r w:rsidRPr="001522E7">
        <w:rPr>
          <w:rFonts w:cstheme="minorHAnsi"/>
          <w:color w:val="000000" w:themeColor="text1"/>
        </w:rPr>
        <w:t xml:space="preserve"> skład włókna: polietylen (PE) 100%,</w:t>
      </w:r>
    </w:p>
    <w:p w14:paraId="57222DC6" w14:textId="77777777" w:rsidR="001522E7" w:rsidRPr="001522E7" w:rsidRDefault="00D614C1" w:rsidP="001522E7">
      <w:pPr>
        <w:pStyle w:val="Akapitzlist"/>
        <w:numPr>
          <w:ilvl w:val="2"/>
          <w:numId w:val="1"/>
        </w:numPr>
        <w:spacing w:after="240" w:line="276" w:lineRule="auto"/>
      </w:pPr>
      <w:r w:rsidRPr="001522E7">
        <w:rPr>
          <w:rFonts w:cstheme="minorHAnsi"/>
          <w:color w:val="000000" w:themeColor="text1"/>
        </w:rPr>
        <w:t xml:space="preserve">rodzaj i przekrój włókna: włókna </w:t>
      </w:r>
      <w:proofErr w:type="spellStart"/>
      <w:r w:rsidRPr="001522E7">
        <w:rPr>
          <w:rFonts w:cstheme="minorHAnsi"/>
          <w:color w:val="000000" w:themeColor="text1"/>
        </w:rPr>
        <w:t>monofilowe</w:t>
      </w:r>
      <w:proofErr w:type="spellEnd"/>
      <w:r w:rsidRPr="001522E7">
        <w:rPr>
          <w:rFonts w:cstheme="minorHAnsi"/>
          <w:color w:val="000000" w:themeColor="text1"/>
        </w:rPr>
        <w:t xml:space="preserve"> (100%), wzmocnione rdzeniem zapewniające </w:t>
      </w:r>
      <w:r w:rsidR="001522E7">
        <w:rPr>
          <w:rFonts w:cstheme="minorHAnsi"/>
          <w:color w:val="000000" w:themeColor="text1"/>
        </w:rPr>
        <w:t>sz</w:t>
      </w:r>
      <w:r w:rsidRPr="001522E7">
        <w:rPr>
          <w:rFonts w:cstheme="minorHAnsi"/>
          <w:color w:val="000000" w:themeColor="text1"/>
        </w:rPr>
        <w:t>tywność i wytrzymałość.</w:t>
      </w:r>
    </w:p>
    <w:p w14:paraId="750ECBBE" w14:textId="7E0AF0F9" w:rsidR="00D614C1" w:rsidRPr="001522E7" w:rsidRDefault="00D614C1" w:rsidP="001522E7">
      <w:pPr>
        <w:pStyle w:val="Akapitzlist"/>
        <w:numPr>
          <w:ilvl w:val="2"/>
          <w:numId w:val="1"/>
        </w:numPr>
        <w:spacing w:after="240" w:line="276" w:lineRule="auto"/>
      </w:pPr>
      <w:r w:rsidRPr="001522E7">
        <w:rPr>
          <w:rFonts w:cstheme="minorHAnsi"/>
          <w:color w:val="000000" w:themeColor="text1"/>
        </w:rPr>
        <w:t xml:space="preserve">wysokość włókna: 60 mm </w:t>
      </w:r>
    </w:p>
    <w:p w14:paraId="53AB3753" w14:textId="762CD937" w:rsidR="00D614C1" w:rsidRPr="001522E7" w:rsidRDefault="00D614C1" w:rsidP="001522E7">
      <w:pPr>
        <w:pStyle w:val="Akapitzlist"/>
        <w:numPr>
          <w:ilvl w:val="2"/>
          <w:numId w:val="1"/>
        </w:numPr>
        <w:spacing w:after="240" w:line="276" w:lineRule="auto"/>
      </w:pPr>
      <w:r w:rsidRPr="001522E7">
        <w:rPr>
          <w:rFonts w:cstheme="minorHAnsi"/>
          <w:color w:val="000000" w:themeColor="text1"/>
        </w:rPr>
        <w:t>grubość włókna: min. 420μm,</w:t>
      </w:r>
    </w:p>
    <w:p w14:paraId="6A765C5E" w14:textId="0FA0EFD2" w:rsidR="00D614C1" w:rsidRPr="001522E7" w:rsidRDefault="00D614C1" w:rsidP="001522E7">
      <w:pPr>
        <w:pStyle w:val="Akapitzlist"/>
        <w:numPr>
          <w:ilvl w:val="2"/>
          <w:numId w:val="1"/>
        </w:numPr>
        <w:spacing w:after="240" w:line="276" w:lineRule="auto"/>
      </w:pPr>
      <w:r w:rsidRPr="001522E7">
        <w:rPr>
          <w:rFonts w:cstheme="minorHAnsi"/>
          <w:color w:val="000000" w:themeColor="text1"/>
        </w:rPr>
        <w:t xml:space="preserve">ciężar włókna – </w:t>
      </w:r>
      <w:proofErr w:type="spellStart"/>
      <w:r w:rsidRPr="001522E7">
        <w:rPr>
          <w:rFonts w:cstheme="minorHAnsi"/>
          <w:color w:val="000000" w:themeColor="text1"/>
        </w:rPr>
        <w:t>Dtex</w:t>
      </w:r>
      <w:proofErr w:type="spellEnd"/>
      <w:r w:rsidRPr="001522E7">
        <w:rPr>
          <w:rFonts w:cstheme="minorHAnsi"/>
          <w:color w:val="000000" w:themeColor="text1"/>
        </w:rPr>
        <w:t>: min. 16</w:t>
      </w:r>
      <w:r w:rsidR="001522E7">
        <w:rPr>
          <w:rFonts w:cstheme="minorHAnsi"/>
          <w:color w:val="000000" w:themeColor="text1"/>
        </w:rPr>
        <w:t> </w:t>
      </w:r>
      <w:r w:rsidRPr="001522E7">
        <w:rPr>
          <w:rFonts w:cstheme="minorHAnsi"/>
          <w:color w:val="000000" w:themeColor="text1"/>
        </w:rPr>
        <w:t>000,</w:t>
      </w:r>
    </w:p>
    <w:p w14:paraId="59C26D98" w14:textId="0D63CEBD" w:rsidR="00D614C1" w:rsidRPr="001522E7" w:rsidRDefault="00D614C1" w:rsidP="001522E7">
      <w:pPr>
        <w:pStyle w:val="Akapitzlist"/>
        <w:numPr>
          <w:ilvl w:val="2"/>
          <w:numId w:val="1"/>
        </w:numPr>
        <w:spacing w:after="240" w:line="276" w:lineRule="auto"/>
      </w:pPr>
      <w:r w:rsidRPr="001522E7">
        <w:rPr>
          <w:rFonts w:cstheme="minorHAnsi"/>
          <w:color w:val="000000" w:themeColor="text1"/>
        </w:rPr>
        <w:t xml:space="preserve">waga pojedynczego włókna: min. 2200 g/m2 </w:t>
      </w:r>
    </w:p>
    <w:p w14:paraId="12F34C32" w14:textId="13C9A089" w:rsidR="00D614C1" w:rsidRPr="001522E7" w:rsidRDefault="00D614C1" w:rsidP="001522E7">
      <w:pPr>
        <w:pStyle w:val="Akapitzlist"/>
        <w:numPr>
          <w:ilvl w:val="2"/>
          <w:numId w:val="1"/>
        </w:numPr>
        <w:spacing w:after="240" w:line="276" w:lineRule="auto"/>
      </w:pPr>
      <w:r w:rsidRPr="001522E7">
        <w:rPr>
          <w:rFonts w:cstheme="minorHAnsi"/>
          <w:color w:val="000000" w:themeColor="text1"/>
        </w:rPr>
        <w:t>ilość pęczków: min. 10 000/m2</w:t>
      </w:r>
    </w:p>
    <w:p w14:paraId="1ABEC3D4" w14:textId="7F0CD728" w:rsidR="00D614C1" w:rsidRPr="001522E7" w:rsidRDefault="00D614C1" w:rsidP="001522E7">
      <w:pPr>
        <w:pStyle w:val="Akapitzlist"/>
        <w:numPr>
          <w:ilvl w:val="2"/>
          <w:numId w:val="1"/>
        </w:numPr>
        <w:spacing w:after="240" w:line="276" w:lineRule="auto"/>
      </w:pPr>
      <w:r w:rsidRPr="001522E7">
        <w:rPr>
          <w:rFonts w:cstheme="minorHAnsi"/>
          <w:color w:val="000000" w:themeColor="text1"/>
        </w:rPr>
        <w:t>waga całkowita trawy: min. 3200 g/m2</w:t>
      </w:r>
    </w:p>
    <w:p w14:paraId="236B4F32" w14:textId="529B4C95" w:rsidR="00D614C1" w:rsidRPr="001522E7" w:rsidRDefault="00D614C1" w:rsidP="001522E7">
      <w:pPr>
        <w:pStyle w:val="Akapitzlist"/>
        <w:numPr>
          <w:ilvl w:val="2"/>
          <w:numId w:val="1"/>
        </w:numPr>
        <w:spacing w:after="240" w:line="276" w:lineRule="auto"/>
      </w:pPr>
      <w:r w:rsidRPr="001522E7">
        <w:rPr>
          <w:rFonts w:cstheme="minorHAnsi"/>
          <w:color w:val="000000" w:themeColor="text1"/>
        </w:rPr>
        <w:lastRenderedPageBreak/>
        <w:t>przepuszczalność wody dla kompletnego systemu: min 3000 mm/h</w:t>
      </w:r>
    </w:p>
    <w:p w14:paraId="66C9E6F6" w14:textId="220863BF" w:rsidR="00D614C1" w:rsidRPr="001522E7" w:rsidRDefault="00D614C1" w:rsidP="001522E7">
      <w:pPr>
        <w:pStyle w:val="Akapitzlist"/>
        <w:numPr>
          <w:ilvl w:val="2"/>
          <w:numId w:val="1"/>
        </w:numPr>
        <w:spacing w:after="240" w:line="276" w:lineRule="auto"/>
      </w:pPr>
      <w:r w:rsidRPr="001522E7">
        <w:rPr>
          <w:rFonts w:cstheme="minorHAnsi"/>
        </w:rPr>
        <w:t>wytrzymałość łączenia klejonego: po starzeniu: min 130N/ 100mm,</w:t>
      </w:r>
    </w:p>
    <w:p w14:paraId="6AAE553D" w14:textId="337D2F0A" w:rsidR="00D614C1" w:rsidRPr="001522E7" w:rsidRDefault="00D614C1" w:rsidP="001522E7">
      <w:pPr>
        <w:pStyle w:val="Akapitzlist"/>
        <w:numPr>
          <w:ilvl w:val="2"/>
          <w:numId w:val="1"/>
        </w:numPr>
        <w:spacing w:after="240" w:line="276" w:lineRule="auto"/>
      </w:pPr>
      <w:r w:rsidRPr="001522E7">
        <w:rPr>
          <w:rFonts w:cstheme="minorHAnsi"/>
        </w:rPr>
        <w:t>wytrzymałość na wyrywanie pęczka: min 80N postarzone</w:t>
      </w:r>
    </w:p>
    <w:p w14:paraId="3D08F840" w14:textId="3E48374F" w:rsidR="00D614C1" w:rsidRPr="001522E7" w:rsidRDefault="00D614C1" w:rsidP="001522E7">
      <w:pPr>
        <w:pStyle w:val="Akapitzlist"/>
        <w:numPr>
          <w:ilvl w:val="2"/>
          <w:numId w:val="1"/>
        </w:numPr>
        <w:spacing w:after="240" w:line="276" w:lineRule="auto"/>
      </w:pPr>
      <w:r w:rsidRPr="001522E7">
        <w:rPr>
          <w:rFonts w:cstheme="minorHAnsi"/>
          <w:color w:val="000000" w:themeColor="text1"/>
        </w:rPr>
        <w:t>podkład trawy: poliuretanowy. Nie dopuszcza się podkładu lateksowego</w:t>
      </w:r>
      <w:r w:rsidR="001522E7">
        <w:rPr>
          <w:rFonts w:cstheme="minorHAnsi"/>
          <w:color w:val="000000" w:themeColor="text1"/>
        </w:rPr>
        <w:t>,</w:t>
      </w:r>
    </w:p>
    <w:p w14:paraId="1C288917" w14:textId="737EAF22" w:rsidR="00D614C1" w:rsidRPr="001522E7" w:rsidRDefault="00D614C1" w:rsidP="001522E7">
      <w:pPr>
        <w:pStyle w:val="Akapitzlist"/>
        <w:numPr>
          <w:ilvl w:val="2"/>
          <w:numId w:val="1"/>
        </w:numPr>
        <w:spacing w:after="240" w:line="276" w:lineRule="auto"/>
      </w:pPr>
      <w:r w:rsidRPr="001522E7">
        <w:rPr>
          <w:rFonts w:cstheme="minorHAnsi"/>
          <w:color w:val="000000" w:themeColor="text1"/>
        </w:rPr>
        <w:t>wypełnienie trawy: piasek kwarcowy oraz granulat gumowy EPDM z recyklingu</w:t>
      </w:r>
      <w:r w:rsidR="001522E7">
        <w:rPr>
          <w:rFonts w:cstheme="minorHAnsi"/>
          <w:color w:val="000000" w:themeColor="text1"/>
        </w:rPr>
        <w:t>.</w:t>
      </w:r>
    </w:p>
    <w:p w14:paraId="04E7128A" w14:textId="25AE2C09" w:rsidR="004B4D6F" w:rsidRDefault="004B4D6F" w:rsidP="004B4D6F">
      <w:pPr>
        <w:spacing w:after="240" w:line="276" w:lineRule="auto"/>
      </w:pPr>
      <w:r>
        <w:t>Wymagania:</w:t>
      </w:r>
    </w:p>
    <w:p w14:paraId="135A878C" w14:textId="77777777" w:rsidR="00734B7E" w:rsidRPr="00734B7E" w:rsidRDefault="006836C3" w:rsidP="006836C3">
      <w:pPr>
        <w:pStyle w:val="Akapitzlist"/>
        <w:numPr>
          <w:ilvl w:val="0"/>
          <w:numId w:val="4"/>
        </w:numPr>
        <w:spacing w:after="240" w:line="276" w:lineRule="auto"/>
      </w:pPr>
      <w:r w:rsidRPr="006836C3">
        <w:rPr>
          <w:rFonts w:cstheme="minorHAnsi"/>
        </w:rPr>
        <w:t xml:space="preserve">Raport z badań dotyczący oferowanego systemu nawierzchni  (trawa, wypełnienie) przeprowadzonego przez specjalistyczne laboratorium (np. </w:t>
      </w:r>
      <w:proofErr w:type="spellStart"/>
      <w:r w:rsidRPr="006836C3">
        <w:rPr>
          <w:rFonts w:cstheme="minorHAnsi"/>
        </w:rPr>
        <w:t>Labosport</w:t>
      </w:r>
      <w:proofErr w:type="spellEnd"/>
      <w:r w:rsidRPr="006836C3">
        <w:rPr>
          <w:rFonts w:cstheme="minorHAnsi"/>
        </w:rPr>
        <w:t xml:space="preserve"> lub ISA-Sport lub Sports </w:t>
      </w:r>
      <w:proofErr w:type="spellStart"/>
      <w:r w:rsidRPr="006836C3">
        <w:rPr>
          <w:rFonts w:cstheme="minorHAnsi"/>
        </w:rPr>
        <w:t>Labs</w:t>
      </w:r>
      <w:proofErr w:type="spellEnd"/>
      <w:r w:rsidRPr="006836C3">
        <w:rPr>
          <w:rFonts w:cstheme="minorHAnsi"/>
        </w:rPr>
        <w:t xml:space="preserve"> </w:t>
      </w:r>
      <w:proofErr w:type="spellStart"/>
      <w:r w:rsidRPr="006836C3">
        <w:rPr>
          <w:rFonts w:cstheme="minorHAnsi"/>
        </w:rPr>
        <w:t>Ltd</w:t>
      </w:r>
      <w:proofErr w:type="spellEnd"/>
      <w:r w:rsidRPr="006836C3">
        <w:rPr>
          <w:rFonts w:cstheme="minorHAnsi"/>
        </w:rPr>
        <w:t xml:space="preserve">), potwierdzający wszystkie wymagane parametry oraz potwierdzający zgodność jego parametrów z FIFA </w:t>
      </w:r>
      <w:proofErr w:type="spellStart"/>
      <w:r w:rsidRPr="006836C3">
        <w:rPr>
          <w:rFonts w:cstheme="minorHAnsi"/>
        </w:rPr>
        <w:t>QualityConcept</w:t>
      </w:r>
      <w:proofErr w:type="spellEnd"/>
      <w:r w:rsidRPr="006836C3">
        <w:rPr>
          <w:rFonts w:cstheme="minorHAnsi"/>
        </w:rPr>
        <w:t xml:space="preserve"> for Football Turf, test </w:t>
      </w:r>
      <w:proofErr w:type="spellStart"/>
      <w:r w:rsidRPr="006836C3">
        <w:rPr>
          <w:rFonts w:cstheme="minorHAnsi"/>
        </w:rPr>
        <w:t>method</w:t>
      </w:r>
      <w:proofErr w:type="spellEnd"/>
      <w:r w:rsidRPr="006836C3">
        <w:rPr>
          <w:rFonts w:cstheme="minorHAnsi"/>
        </w:rPr>
        <w:t xml:space="preserve"> 2015 (dostępny na </w:t>
      </w:r>
      <w:hyperlink r:id="rId5" w:history="1">
        <w:r w:rsidRPr="006836C3">
          <w:rPr>
            <w:rStyle w:val="Hipercze"/>
            <w:rFonts w:cstheme="minorHAnsi"/>
          </w:rPr>
          <w:t>www.FIFA.com</w:t>
        </w:r>
      </w:hyperlink>
      <w:r w:rsidRPr="006836C3">
        <w:rPr>
          <w:rFonts w:cstheme="minorHAnsi"/>
        </w:rPr>
        <w:t xml:space="preserve">) dla poziomu FIFA </w:t>
      </w:r>
      <w:proofErr w:type="spellStart"/>
      <w:r w:rsidRPr="006836C3">
        <w:rPr>
          <w:rFonts w:cstheme="minorHAnsi"/>
        </w:rPr>
        <w:t>Quality</w:t>
      </w:r>
      <w:proofErr w:type="spellEnd"/>
      <w:r w:rsidRPr="006836C3">
        <w:rPr>
          <w:rFonts w:cstheme="minorHAnsi"/>
        </w:rPr>
        <w:t xml:space="preserve"> oraz FIFA </w:t>
      </w:r>
      <w:proofErr w:type="spellStart"/>
      <w:r w:rsidRPr="006836C3">
        <w:rPr>
          <w:rFonts w:cstheme="minorHAnsi"/>
        </w:rPr>
        <w:t>Quality</w:t>
      </w:r>
      <w:proofErr w:type="spellEnd"/>
      <w:r w:rsidRPr="006836C3">
        <w:rPr>
          <w:rFonts w:cstheme="minorHAnsi"/>
        </w:rPr>
        <w:t xml:space="preserve"> PRO.</w:t>
      </w:r>
    </w:p>
    <w:p w14:paraId="5F534EFB" w14:textId="43E91701" w:rsidR="00734B7E" w:rsidRPr="00734B7E" w:rsidRDefault="006836C3" w:rsidP="00734B7E">
      <w:pPr>
        <w:pStyle w:val="Akapitzlist"/>
        <w:numPr>
          <w:ilvl w:val="0"/>
          <w:numId w:val="4"/>
        </w:numPr>
        <w:spacing w:after="240" w:line="276" w:lineRule="auto"/>
      </w:pPr>
      <w:r w:rsidRPr="006836C3">
        <w:rPr>
          <w:rFonts w:cstheme="minorHAnsi"/>
        </w:rPr>
        <w:t xml:space="preserve"> </w:t>
      </w:r>
      <w:r w:rsidRPr="00734B7E">
        <w:rPr>
          <w:rFonts w:cstheme="minorHAnsi"/>
        </w:rPr>
        <w:t>Badanie laboratoryjne oferowanego systemu sztucznej trawy (trawa, wypełnienie) na zgodność z normą PN-EN 15330-1:2013</w:t>
      </w:r>
    </w:p>
    <w:p w14:paraId="5BD4E220" w14:textId="198C6DC9" w:rsidR="006836C3" w:rsidRPr="00734B7E" w:rsidRDefault="006836C3" w:rsidP="00734B7E">
      <w:pPr>
        <w:pStyle w:val="Akapitzlist"/>
        <w:numPr>
          <w:ilvl w:val="0"/>
          <w:numId w:val="4"/>
        </w:numPr>
        <w:spacing w:after="240" w:line="276" w:lineRule="auto"/>
      </w:pPr>
      <w:r w:rsidRPr="00734B7E">
        <w:rPr>
          <w:rFonts w:cstheme="minorHAnsi"/>
        </w:rPr>
        <w:t>Kartę techniczna oferowanej nawierzchni, potwierdzoną przez jej producenta</w:t>
      </w:r>
      <w:r w:rsidR="00745D2E">
        <w:rPr>
          <w:rFonts w:cstheme="minorHAnsi"/>
        </w:rPr>
        <w:t>.</w:t>
      </w:r>
    </w:p>
    <w:p w14:paraId="10F3D86B" w14:textId="227A2B50" w:rsidR="006836C3" w:rsidRPr="00734B7E" w:rsidRDefault="006836C3" w:rsidP="00734B7E">
      <w:pPr>
        <w:pStyle w:val="Akapitzlist"/>
        <w:numPr>
          <w:ilvl w:val="0"/>
          <w:numId w:val="4"/>
        </w:numPr>
        <w:spacing w:after="240" w:line="276" w:lineRule="auto"/>
      </w:pPr>
      <w:r w:rsidRPr="00734B7E">
        <w:rPr>
          <w:rFonts w:cstheme="minorHAnsi"/>
        </w:rPr>
        <w:t xml:space="preserve">Aktualny certyfikat FPP dla producenta trawy (FIFA </w:t>
      </w:r>
      <w:proofErr w:type="spellStart"/>
      <w:r w:rsidRPr="00734B7E">
        <w:rPr>
          <w:rFonts w:cstheme="minorHAnsi"/>
        </w:rPr>
        <w:t>Preferred</w:t>
      </w:r>
      <w:proofErr w:type="spellEnd"/>
      <w:r w:rsidRPr="00734B7E">
        <w:rPr>
          <w:rFonts w:cstheme="minorHAnsi"/>
        </w:rPr>
        <w:t xml:space="preserve"> Producer) </w:t>
      </w:r>
    </w:p>
    <w:p w14:paraId="0ED48FBE" w14:textId="77777777" w:rsidR="00734B7E" w:rsidRPr="00734B7E" w:rsidRDefault="006836C3" w:rsidP="00734B7E">
      <w:pPr>
        <w:pStyle w:val="Akapitzlist"/>
        <w:numPr>
          <w:ilvl w:val="0"/>
          <w:numId w:val="4"/>
        </w:numPr>
        <w:spacing w:after="240" w:line="276" w:lineRule="auto"/>
      </w:pPr>
      <w:r w:rsidRPr="00734B7E">
        <w:rPr>
          <w:rFonts w:cstheme="minorHAnsi"/>
        </w:rPr>
        <w:t>Atest PZH lub równoważny dla oferowanej nawierzchni i wypełnienia. Oba testy mają dopuszczać zastosowanie materiałów pod balonem pneumatycznym.</w:t>
      </w:r>
    </w:p>
    <w:p w14:paraId="315B9B36" w14:textId="77777777" w:rsidR="00734B7E" w:rsidRPr="00734B7E" w:rsidRDefault="006836C3" w:rsidP="00734B7E">
      <w:pPr>
        <w:pStyle w:val="Akapitzlist"/>
        <w:numPr>
          <w:ilvl w:val="0"/>
          <w:numId w:val="4"/>
        </w:numPr>
        <w:spacing w:after="240" w:line="276" w:lineRule="auto"/>
      </w:pPr>
      <w:r w:rsidRPr="00734B7E">
        <w:rPr>
          <w:rFonts w:cstheme="minorHAnsi"/>
        </w:rPr>
        <w:t xml:space="preserve">Raport z badań testu </w:t>
      </w:r>
      <w:proofErr w:type="spellStart"/>
      <w:r w:rsidRPr="00734B7E">
        <w:rPr>
          <w:rFonts w:cstheme="minorHAnsi"/>
        </w:rPr>
        <w:t>lisport</w:t>
      </w:r>
      <w:proofErr w:type="spellEnd"/>
      <w:r w:rsidRPr="00734B7E">
        <w:rPr>
          <w:rFonts w:cstheme="minorHAnsi"/>
        </w:rPr>
        <w:t xml:space="preserve"> XL na min 25 000 cykli zgodnie z FIFA </w:t>
      </w:r>
      <w:proofErr w:type="spellStart"/>
      <w:r w:rsidRPr="00734B7E">
        <w:rPr>
          <w:rFonts w:cstheme="minorHAnsi"/>
        </w:rPr>
        <w:t>QualityProgramme</w:t>
      </w:r>
      <w:proofErr w:type="spellEnd"/>
      <w:r w:rsidRPr="00734B7E">
        <w:rPr>
          <w:rFonts w:cstheme="minorHAnsi"/>
        </w:rPr>
        <w:t xml:space="preserve"> for Football Turf (edycja 2015) dla oferowanego </w:t>
      </w:r>
      <w:proofErr w:type="spellStart"/>
      <w:r w:rsidRPr="00734B7E">
        <w:rPr>
          <w:rFonts w:cstheme="minorHAnsi"/>
        </w:rPr>
        <w:t>systemutrawy</w:t>
      </w:r>
      <w:proofErr w:type="spellEnd"/>
      <w:r w:rsidRPr="00734B7E">
        <w:rPr>
          <w:rFonts w:cstheme="minorHAnsi"/>
        </w:rPr>
        <w:t xml:space="preserve"> syntetycznej (trawa plus EPDM).</w:t>
      </w:r>
    </w:p>
    <w:p w14:paraId="3B8D8FFB" w14:textId="5DC7BA6A" w:rsidR="00745D2E" w:rsidRPr="00745D2E" w:rsidRDefault="006836C3" w:rsidP="00745D2E">
      <w:pPr>
        <w:pStyle w:val="Akapitzlist"/>
        <w:numPr>
          <w:ilvl w:val="0"/>
          <w:numId w:val="4"/>
        </w:numPr>
        <w:spacing w:after="240" w:line="276" w:lineRule="auto"/>
      </w:pPr>
      <w:r w:rsidRPr="00734B7E">
        <w:rPr>
          <w:rFonts w:cstheme="minorHAnsi"/>
        </w:rPr>
        <w:t xml:space="preserve"> aktualny certyfikat FIFA dla poziomu min </w:t>
      </w:r>
      <w:proofErr w:type="spellStart"/>
      <w:r w:rsidRPr="00734B7E">
        <w:rPr>
          <w:rFonts w:cstheme="minorHAnsi"/>
        </w:rPr>
        <w:t>Quality</w:t>
      </w:r>
      <w:proofErr w:type="spellEnd"/>
      <w:r w:rsidRPr="00734B7E">
        <w:rPr>
          <w:rFonts w:cstheme="minorHAnsi"/>
        </w:rPr>
        <w:t xml:space="preserve"> dla oferowanego systemy sztucznej trawy (sztuczna trawa, granulat EPDM</w:t>
      </w:r>
      <w:r w:rsidR="00745D2E">
        <w:rPr>
          <w:rFonts w:cstheme="minorHAnsi"/>
        </w:rPr>
        <w:t>)</w:t>
      </w:r>
    </w:p>
    <w:p w14:paraId="731375CC" w14:textId="40D95711" w:rsidR="006836C3" w:rsidRPr="00734B7E" w:rsidRDefault="006836C3" w:rsidP="00745D2E">
      <w:pPr>
        <w:pStyle w:val="Akapitzlist"/>
        <w:numPr>
          <w:ilvl w:val="0"/>
          <w:numId w:val="4"/>
        </w:numPr>
        <w:spacing w:after="240" w:line="276" w:lineRule="auto"/>
      </w:pPr>
      <w:r w:rsidRPr="00745D2E">
        <w:rPr>
          <w:rFonts w:cstheme="minorHAnsi"/>
          <w:color w:val="000000" w:themeColor="text1"/>
        </w:rPr>
        <w:t>Sprawozdanie z badań reakcji na ogień potwierdzające, że oferowany system nawierzchni syntetycznej (</w:t>
      </w:r>
      <w:r w:rsidRPr="00745D2E">
        <w:rPr>
          <w:rFonts w:cstheme="minorHAnsi"/>
          <w:color w:val="000000" w:themeColor="text1"/>
          <w:u w:val="single"/>
        </w:rPr>
        <w:t>sztuczna trawa + wypełnienie granulat EPDM z recyklingu/techniczny</w:t>
      </w:r>
      <w:r w:rsidRPr="00745D2E">
        <w:rPr>
          <w:rFonts w:cstheme="minorHAnsi"/>
          <w:color w:val="000000" w:themeColor="text1"/>
        </w:rPr>
        <w:t>) spełnia wymagania normy PN-EN 13501-1+A1:2010 dla materiałów podłogowych klasy Cfl-s1 jako materiał trudno zapalny.</w:t>
      </w:r>
    </w:p>
    <w:p w14:paraId="259BA418" w14:textId="68CBEAA4" w:rsidR="00734B7E" w:rsidRDefault="006836C3" w:rsidP="00734B7E">
      <w:pPr>
        <w:pStyle w:val="Akapitzlist"/>
        <w:numPr>
          <w:ilvl w:val="0"/>
          <w:numId w:val="4"/>
        </w:numPr>
        <w:spacing w:after="360" w:line="276" w:lineRule="auto"/>
        <w:ind w:left="714" w:hanging="357"/>
        <w:contextualSpacing w:val="0"/>
      </w:pPr>
      <w:r>
        <w:t xml:space="preserve">dokument potwierdzający, że trawa syntetyczna nadaje </w:t>
      </w:r>
      <w:proofErr w:type="spellStart"/>
      <w:r>
        <w:t>sie</w:t>
      </w:r>
      <w:proofErr w:type="spellEnd"/>
      <w:r>
        <w:t>̨ w 100% do</w:t>
      </w:r>
      <w:r w:rsidR="005D554F">
        <w:t xml:space="preserve"> </w:t>
      </w:r>
      <w:r>
        <w:t>recyklingu. Dokument musi być́ wydany przez niezależne, akredytowane laboratorium zgodnie z ISO/IEC 17025:2018.</w:t>
      </w:r>
    </w:p>
    <w:bookmarkEnd w:id="0"/>
    <w:p w14:paraId="02F3269E" w14:textId="15CB322A" w:rsidR="00734B7E" w:rsidRPr="00734B7E" w:rsidRDefault="00734B7E" w:rsidP="00734B7E">
      <w:pPr>
        <w:pStyle w:val="Akapitzlist"/>
        <w:numPr>
          <w:ilvl w:val="0"/>
          <w:numId w:val="1"/>
        </w:numPr>
        <w:spacing w:after="240" w:line="276" w:lineRule="auto"/>
        <w:rPr>
          <w:b/>
          <w:bCs/>
        </w:rPr>
      </w:pPr>
      <w:r w:rsidRPr="00734B7E">
        <w:rPr>
          <w:b/>
          <w:bCs/>
        </w:rPr>
        <w:t>SPRZĘT</w:t>
      </w:r>
    </w:p>
    <w:p w14:paraId="5D939CD9" w14:textId="07DB7713" w:rsidR="00734B7E" w:rsidRPr="00734B7E" w:rsidRDefault="00734B7E" w:rsidP="00734B7E">
      <w:pPr>
        <w:pStyle w:val="Akapitzlist"/>
        <w:numPr>
          <w:ilvl w:val="1"/>
          <w:numId w:val="1"/>
        </w:numPr>
        <w:spacing w:after="240" w:line="276" w:lineRule="auto"/>
      </w:pPr>
      <w:r w:rsidRPr="00734B7E">
        <w:t>Specjalistyczna maszyna do klejenia taśm i łączenia pasów trawy syntetycznej</w:t>
      </w:r>
    </w:p>
    <w:p w14:paraId="3B585307" w14:textId="72513D55" w:rsidR="00734B7E" w:rsidRDefault="00734B7E" w:rsidP="00734B7E">
      <w:pPr>
        <w:pStyle w:val="Akapitzlist"/>
        <w:numPr>
          <w:ilvl w:val="1"/>
          <w:numId w:val="1"/>
        </w:numPr>
        <w:spacing w:after="360" w:line="276" w:lineRule="auto"/>
        <w:ind w:left="788" w:hanging="431"/>
        <w:contextualSpacing w:val="0"/>
      </w:pPr>
      <w:r w:rsidRPr="00734B7E">
        <w:t>Rozkładanie pasów trawy syntetycznej należy wykonywać ręcznie</w:t>
      </w:r>
      <w:r>
        <w:t>.</w:t>
      </w:r>
    </w:p>
    <w:p w14:paraId="04384628" w14:textId="4D451F13" w:rsidR="00734B7E" w:rsidRDefault="00734B7E" w:rsidP="00382A4F">
      <w:pPr>
        <w:pStyle w:val="Akapitzlist"/>
        <w:numPr>
          <w:ilvl w:val="0"/>
          <w:numId w:val="1"/>
        </w:numPr>
        <w:spacing w:after="240" w:line="276" w:lineRule="auto"/>
        <w:ind w:left="357" w:hanging="357"/>
        <w:contextualSpacing w:val="0"/>
      </w:pPr>
      <w:r w:rsidRPr="00734B7E">
        <w:rPr>
          <w:b/>
          <w:bCs/>
        </w:rPr>
        <w:t>TRANSPORT</w:t>
      </w:r>
      <w:r>
        <w:rPr>
          <w:b/>
          <w:bCs/>
        </w:rPr>
        <w:br/>
      </w:r>
      <w:r w:rsidRPr="00734B7E">
        <w:t>Trawę syntetyczn</w:t>
      </w:r>
      <w:r>
        <w:t>ą w rolkach</w:t>
      </w:r>
      <w:r w:rsidRPr="00734B7E">
        <w:t xml:space="preserve"> n</w:t>
      </w:r>
      <w:r>
        <w:t>ależy przewozić w opakowaniach producenta w sposób zabezpieczający przed uszkodzeniem przy załadunku, rozładunku</w:t>
      </w:r>
      <w:r w:rsidR="00382A4F">
        <w:t xml:space="preserve"> i w czasie przewożenia. Wymagania odnośnie transportu zgodnie z instrukcją producenta. Transport kruszywa środkami transportu samowyładowczymi w sposób zabezpieczający przed zanieczyszczeniem.</w:t>
      </w:r>
    </w:p>
    <w:p w14:paraId="17493905" w14:textId="6C39182E" w:rsidR="00382A4F" w:rsidRPr="00382A4F" w:rsidRDefault="00382A4F" w:rsidP="00734B7E">
      <w:pPr>
        <w:pStyle w:val="Akapitzlist"/>
        <w:numPr>
          <w:ilvl w:val="0"/>
          <w:numId w:val="1"/>
        </w:numPr>
        <w:spacing w:after="240" w:line="276" w:lineRule="auto"/>
      </w:pPr>
      <w:r>
        <w:rPr>
          <w:b/>
          <w:bCs/>
        </w:rPr>
        <w:t>WYKONIANIE ROBÓT</w:t>
      </w:r>
    </w:p>
    <w:p w14:paraId="6B5977A3" w14:textId="2DDE92EB" w:rsidR="00382A4F" w:rsidRPr="00382A4F" w:rsidRDefault="00382A4F" w:rsidP="00382A4F">
      <w:pPr>
        <w:pStyle w:val="Akapitzlist"/>
        <w:numPr>
          <w:ilvl w:val="1"/>
          <w:numId w:val="1"/>
        </w:numPr>
        <w:spacing w:after="240" w:line="276" w:lineRule="auto"/>
      </w:pPr>
      <w:r>
        <w:rPr>
          <w:b/>
          <w:bCs/>
        </w:rPr>
        <w:t>Wymagania ogólne</w:t>
      </w:r>
      <w:r>
        <w:rPr>
          <w:b/>
          <w:bCs/>
        </w:rPr>
        <w:br/>
      </w:r>
      <w:r w:rsidRPr="00382A4F">
        <w:t>Zakres robót oraz metody ich wykonania</w:t>
      </w:r>
      <w:r>
        <w:t xml:space="preserve"> musza być zgodne z kosztorysem i przedmiarem </w:t>
      </w:r>
      <w:r>
        <w:lastRenderedPageBreak/>
        <w:t>robót</w:t>
      </w:r>
      <w:r w:rsidR="00F61EC5">
        <w:t>. Wykonawca odpowiedzialny jest za prowadzenie robót zgodnie z umową i obowiązującymi normami.</w:t>
      </w:r>
    </w:p>
    <w:p w14:paraId="70F1E1DE" w14:textId="7460799F" w:rsidR="00382A4F" w:rsidRDefault="00F61EC5" w:rsidP="00382A4F">
      <w:pPr>
        <w:pStyle w:val="Akapitzlist"/>
        <w:numPr>
          <w:ilvl w:val="1"/>
          <w:numId w:val="1"/>
        </w:numPr>
        <w:spacing w:after="240" w:line="276" w:lineRule="auto"/>
      </w:pPr>
      <w:r w:rsidRPr="00012E0A">
        <w:rPr>
          <w:b/>
          <w:bCs/>
        </w:rPr>
        <w:t>Warunki szczegółowe</w:t>
      </w:r>
      <w:r>
        <w:t>:</w:t>
      </w:r>
    </w:p>
    <w:p w14:paraId="4CF034F6" w14:textId="2B2F10CC" w:rsidR="00F61EC5" w:rsidRDefault="00F61EC5" w:rsidP="00F61EC5">
      <w:pPr>
        <w:pStyle w:val="Akapitzlist"/>
        <w:numPr>
          <w:ilvl w:val="3"/>
          <w:numId w:val="1"/>
        </w:numPr>
        <w:spacing w:after="240" w:line="276" w:lineRule="auto"/>
        <w:ind w:left="1418"/>
      </w:pPr>
      <w:r w:rsidRPr="00012E0A">
        <w:rPr>
          <w:b/>
          <w:bCs/>
        </w:rPr>
        <w:t>Demontaż</w:t>
      </w:r>
      <w:r>
        <w:br/>
        <w:t>Istniejącą nawierzchnie należy zdemontować w całości i zutylizować lub poddać recyklingowi.</w:t>
      </w:r>
    </w:p>
    <w:p w14:paraId="02E487B8" w14:textId="32459A7F" w:rsidR="00F61EC5" w:rsidRDefault="00F61EC5" w:rsidP="00F61EC5">
      <w:pPr>
        <w:pStyle w:val="Akapitzlist"/>
        <w:numPr>
          <w:ilvl w:val="3"/>
          <w:numId w:val="1"/>
        </w:numPr>
        <w:spacing w:after="240" w:line="276" w:lineRule="auto"/>
        <w:ind w:left="1418"/>
      </w:pPr>
      <w:r w:rsidRPr="00012E0A">
        <w:rPr>
          <w:b/>
          <w:bCs/>
        </w:rPr>
        <w:t xml:space="preserve">Przygotowanie </w:t>
      </w:r>
      <w:r w:rsidR="00012E0A" w:rsidRPr="00012E0A">
        <w:rPr>
          <w:b/>
          <w:bCs/>
        </w:rPr>
        <w:t>podłoża</w:t>
      </w:r>
      <w:r w:rsidRPr="00012E0A">
        <w:rPr>
          <w:b/>
          <w:bCs/>
        </w:rPr>
        <w:t>:</w:t>
      </w:r>
      <w:r>
        <w:br/>
        <w:t xml:space="preserve">Po zdemontowaniu </w:t>
      </w:r>
      <w:r w:rsidR="00D56C63">
        <w:t>nawierzchni z trawy syntetycznej należy wyrównać podłoże kruszywem</w:t>
      </w:r>
      <w:r>
        <w:t xml:space="preserve"> </w:t>
      </w:r>
      <w:r w:rsidR="00D56C63">
        <w:t xml:space="preserve">z miału kamiennego </w:t>
      </w:r>
      <w:proofErr w:type="spellStart"/>
      <w:r w:rsidR="00D56C63">
        <w:t>fr</w:t>
      </w:r>
      <w:proofErr w:type="spellEnd"/>
      <w:r w:rsidR="00D56C63">
        <w:t xml:space="preserve"> 0-4mm –  gr.8 cm</w:t>
      </w:r>
    </w:p>
    <w:p w14:paraId="4CD3FC2C" w14:textId="71FF8AB7" w:rsidR="00BD4EFD" w:rsidRDefault="00BD4EFD" w:rsidP="00F61EC5">
      <w:pPr>
        <w:pStyle w:val="Akapitzlist"/>
        <w:numPr>
          <w:ilvl w:val="3"/>
          <w:numId w:val="1"/>
        </w:numPr>
        <w:spacing w:after="240" w:line="276" w:lineRule="auto"/>
        <w:ind w:left="1418"/>
      </w:pPr>
      <w:r w:rsidRPr="00012E0A">
        <w:rPr>
          <w:b/>
          <w:bCs/>
        </w:rPr>
        <w:t>Instalacja</w:t>
      </w:r>
      <w:r>
        <w:br/>
        <w:t>Przed rozłożeniem rolki należy dokładnie sprawdzić wszystkie jej wymiar. Należy unikać dużych zakładek między brytami trawy. Należy zaznaczyć punkty ułożenia brytów przed ich rozkładaniem. Pierwsza rolka powinna być ułożona wzdłuż bocznej krawędzi boiska. Następne układać równolegle z 5 cm zakładką. Cięcie sąsiadujących brytów należy wykonać poprzez dwie wykładziny.</w:t>
      </w:r>
      <w:r w:rsidR="00F853DA">
        <w:t xml:space="preserve"> Należy posłużyć się specjalnym nożem posiadającym regulację wysokości ostrza, które pozwoli na uniknięcie cięcia w tym samym czasie podkładu i włókien (źdźbeł). Ciecia należy wykonać tak, aby jak najmniej uszkadzać łącznia splotów, co powoduje mniejsze zniszczenie włókien. W przypadku znaczących </w:t>
      </w:r>
      <w:r w:rsidR="0097021E">
        <w:t xml:space="preserve">zmian temperatury w czasie instalacji, należy sprawdzić położenie trawy, która na tendencje </w:t>
      </w:r>
      <w:r w:rsidR="00A92CC6">
        <w:t>do rozszerzania się i skracania. W przypadku występowania takiego zjawiska należy korygować ułożenie rolek. Przygotowane i przycięte bryty trawy powinny być klejone tego samego dnia.</w:t>
      </w:r>
    </w:p>
    <w:p w14:paraId="467EA408" w14:textId="6965FF17" w:rsidR="00734B7E" w:rsidRDefault="0056752B" w:rsidP="00734B7E">
      <w:pPr>
        <w:pStyle w:val="Akapitzlist"/>
        <w:numPr>
          <w:ilvl w:val="3"/>
          <w:numId w:val="1"/>
        </w:numPr>
        <w:spacing w:after="240" w:line="276" w:lineRule="auto"/>
        <w:ind w:left="1418"/>
      </w:pPr>
      <w:r w:rsidRPr="00012E0A">
        <w:rPr>
          <w:b/>
          <w:bCs/>
        </w:rPr>
        <w:t>Klejenie</w:t>
      </w:r>
      <w:r>
        <w:br/>
        <w:t>Bryty trawy klejone na taśmach łączeniowych. Klej rozkładany jest na taśmie na szerokość 20 cm między brytami i taśmie 25 cm do łączenia brytów z liniami. Klej należy rozprowadzać przy pomocy specjalnych maszyn do nanoszenia kleju lub szpachelki B-2. Klej przygotować zgodnie z instrukcją. Klej należy nakładać na suchej taśmie i podkładzie brytów przy temperaturze powyżej 10</w:t>
      </w:r>
      <w:r>
        <w:rPr>
          <w:vertAlign w:val="superscript"/>
        </w:rPr>
        <w:t>0</w:t>
      </w:r>
      <w:r>
        <w:t>C ( lub inne warunki określone przez producenta kleju).</w:t>
      </w:r>
    </w:p>
    <w:p w14:paraId="2F2F2E55" w14:textId="749AC7C0" w:rsidR="0056752B" w:rsidRDefault="0056752B" w:rsidP="00734B7E">
      <w:pPr>
        <w:pStyle w:val="Akapitzlist"/>
        <w:numPr>
          <w:ilvl w:val="3"/>
          <w:numId w:val="1"/>
        </w:numPr>
        <w:spacing w:after="240" w:line="276" w:lineRule="auto"/>
        <w:ind w:left="1418"/>
      </w:pPr>
      <w:r w:rsidRPr="00012E0A">
        <w:rPr>
          <w:b/>
          <w:bCs/>
        </w:rPr>
        <w:t>Linie</w:t>
      </w:r>
      <w:r>
        <w:br/>
      </w:r>
      <w:bookmarkStart w:id="1" w:name="_Hlk157689126"/>
      <w:proofErr w:type="spellStart"/>
      <w:r>
        <w:t>linie</w:t>
      </w:r>
      <w:proofErr w:type="spellEnd"/>
      <w:r>
        <w:t xml:space="preserve"> boisk s</w:t>
      </w:r>
      <w:r w:rsidR="005D554F">
        <w:t>ą</w:t>
      </w:r>
      <w:r>
        <w:t xml:space="preserve"> zaznaczone prze</w:t>
      </w:r>
      <w:r w:rsidR="005D554F">
        <w:t xml:space="preserve">z </w:t>
      </w:r>
      <w:r>
        <w:t>wklejanie trawy w innym kolorze – białym sz</w:t>
      </w:r>
      <w:r w:rsidR="00F9654D">
        <w:t>e</w:t>
      </w:r>
      <w:r>
        <w:t>r. 10cm.</w:t>
      </w:r>
    </w:p>
    <w:bookmarkEnd w:id="1"/>
    <w:p w14:paraId="1531D10E" w14:textId="56D507BA" w:rsidR="00F9654D" w:rsidRDefault="00F9654D" w:rsidP="00F9654D">
      <w:pPr>
        <w:pStyle w:val="Akapitzlist"/>
        <w:numPr>
          <w:ilvl w:val="3"/>
          <w:numId w:val="1"/>
        </w:numPr>
        <w:spacing w:after="360" w:line="276" w:lineRule="auto"/>
        <w:ind w:left="1417" w:hanging="646"/>
        <w:contextualSpacing w:val="0"/>
      </w:pPr>
      <w:r w:rsidRPr="00012E0A">
        <w:rPr>
          <w:b/>
          <w:bCs/>
        </w:rPr>
        <w:t>Zasypywanie</w:t>
      </w:r>
      <w:r>
        <w:br/>
      </w:r>
      <w:bookmarkStart w:id="2" w:name="_Hlk157689266"/>
      <w:r>
        <w:t>Położona i sklejona wraz z liniami trawa wymaga zasypania piaskiem kwarcowym oraz granulatem gumowym EPDM z recyklingu w kolorze czarnym</w:t>
      </w:r>
      <w:bookmarkEnd w:id="2"/>
      <w:r>
        <w:t>. Wypełnienie należy szczotkować, by piasek i granulat mogły penetrować w głąb trawy.</w:t>
      </w:r>
    </w:p>
    <w:p w14:paraId="32D0AA8A" w14:textId="4DF32F27" w:rsidR="00F9654D" w:rsidRPr="00012E0A" w:rsidRDefault="00F9654D" w:rsidP="00F9654D">
      <w:pPr>
        <w:pStyle w:val="Akapitzlist"/>
        <w:numPr>
          <w:ilvl w:val="0"/>
          <w:numId w:val="1"/>
        </w:numPr>
        <w:spacing w:after="240" w:line="276" w:lineRule="auto"/>
        <w:rPr>
          <w:b/>
          <w:bCs/>
        </w:rPr>
      </w:pPr>
      <w:r w:rsidRPr="00012E0A">
        <w:rPr>
          <w:b/>
          <w:bCs/>
        </w:rPr>
        <w:t>KONTROLA JAKOŚCI ROBÓT</w:t>
      </w:r>
    </w:p>
    <w:p w14:paraId="45222163" w14:textId="75978702" w:rsidR="00F9654D" w:rsidRDefault="00F9654D" w:rsidP="00F9654D">
      <w:pPr>
        <w:pStyle w:val="Akapitzlist"/>
        <w:numPr>
          <w:ilvl w:val="1"/>
          <w:numId w:val="1"/>
        </w:numPr>
        <w:spacing w:after="240" w:line="276" w:lineRule="auto"/>
      </w:pPr>
      <w:r>
        <w:t>Kontroli jakości robót podlega jakość użytych materia</w:t>
      </w:r>
      <w:r w:rsidR="00855695">
        <w:t>ł</w:t>
      </w:r>
      <w:r>
        <w:t>ów</w:t>
      </w:r>
      <w:r w:rsidR="00855695">
        <w:t>.</w:t>
      </w:r>
    </w:p>
    <w:p w14:paraId="4FE645C4" w14:textId="16035B49" w:rsidR="00855695" w:rsidRDefault="00855695" w:rsidP="00F9654D">
      <w:pPr>
        <w:pStyle w:val="Akapitzlist"/>
        <w:numPr>
          <w:ilvl w:val="1"/>
          <w:numId w:val="1"/>
        </w:numPr>
        <w:spacing w:after="240" w:line="276" w:lineRule="auto"/>
      </w:pPr>
      <w:r>
        <w:t>Kontrola jakości w trakcie robót obejmuje:</w:t>
      </w:r>
    </w:p>
    <w:p w14:paraId="1C53F7BE" w14:textId="6FDDAF71" w:rsidR="00855695" w:rsidRDefault="00855695" w:rsidP="00855695">
      <w:pPr>
        <w:pStyle w:val="Akapitzlist"/>
        <w:numPr>
          <w:ilvl w:val="2"/>
          <w:numId w:val="1"/>
        </w:numPr>
        <w:spacing w:after="240" w:line="276" w:lineRule="auto"/>
      </w:pPr>
      <w:r>
        <w:t>Kontrolę przygotowania podłoża,</w:t>
      </w:r>
    </w:p>
    <w:p w14:paraId="74A3C0F3" w14:textId="2FAA0963" w:rsidR="00855695" w:rsidRDefault="00855695" w:rsidP="00855695">
      <w:pPr>
        <w:pStyle w:val="Akapitzlist"/>
        <w:numPr>
          <w:ilvl w:val="2"/>
          <w:numId w:val="1"/>
        </w:numPr>
        <w:spacing w:after="240" w:line="276" w:lineRule="auto"/>
      </w:pPr>
      <w:r>
        <w:t>Sposób przygotowania materiałów,</w:t>
      </w:r>
    </w:p>
    <w:p w14:paraId="64F24665" w14:textId="2936E020" w:rsidR="00855695" w:rsidRDefault="00855695" w:rsidP="00855695">
      <w:pPr>
        <w:pStyle w:val="Akapitzlist"/>
        <w:numPr>
          <w:ilvl w:val="2"/>
          <w:numId w:val="1"/>
        </w:numPr>
        <w:spacing w:after="240" w:line="276" w:lineRule="auto"/>
      </w:pPr>
      <w:r>
        <w:t>Kontrole ułożenia i polaczenia pasów trawy syntetycznej,</w:t>
      </w:r>
    </w:p>
    <w:p w14:paraId="0C7EAECC" w14:textId="63D888EA" w:rsidR="00855695" w:rsidRDefault="00855695" w:rsidP="00855695">
      <w:pPr>
        <w:pStyle w:val="Akapitzlist"/>
        <w:numPr>
          <w:ilvl w:val="2"/>
          <w:numId w:val="1"/>
        </w:numPr>
        <w:spacing w:after="240" w:line="276" w:lineRule="auto"/>
      </w:pPr>
      <w:r>
        <w:t>Kontrola montażu linii boisk,</w:t>
      </w:r>
    </w:p>
    <w:p w14:paraId="52239BD9" w14:textId="419B075F" w:rsidR="00855695" w:rsidRDefault="00855695" w:rsidP="0028401E">
      <w:pPr>
        <w:pStyle w:val="Akapitzlist"/>
        <w:numPr>
          <w:ilvl w:val="2"/>
          <w:numId w:val="1"/>
        </w:numPr>
        <w:spacing w:after="360" w:line="276" w:lineRule="auto"/>
        <w:ind w:left="1225" w:hanging="505"/>
        <w:contextualSpacing w:val="0"/>
      </w:pPr>
      <w:r>
        <w:t xml:space="preserve">Kontrola zasypania </w:t>
      </w:r>
      <w:r w:rsidR="0028401E">
        <w:t>piaskiem i EPDM-em.</w:t>
      </w:r>
    </w:p>
    <w:p w14:paraId="28F92CCB" w14:textId="296BFA76" w:rsidR="0028401E" w:rsidRPr="00012E0A" w:rsidRDefault="0028401E" w:rsidP="0028401E">
      <w:pPr>
        <w:pStyle w:val="Akapitzlist"/>
        <w:numPr>
          <w:ilvl w:val="0"/>
          <w:numId w:val="1"/>
        </w:numPr>
        <w:spacing w:after="240" w:line="276" w:lineRule="auto"/>
        <w:rPr>
          <w:b/>
          <w:bCs/>
        </w:rPr>
      </w:pPr>
      <w:r w:rsidRPr="00012E0A">
        <w:rPr>
          <w:b/>
          <w:bCs/>
        </w:rPr>
        <w:lastRenderedPageBreak/>
        <w:t>ODBIÓR ROBÓT</w:t>
      </w:r>
    </w:p>
    <w:p w14:paraId="1E2B67C3" w14:textId="77777777" w:rsidR="007E75E5" w:rsidRPr="00012E0A" w:rsidRDefault="0028401E" w:rsidP="007E75E5">
      <w:pPr>
        <w:pStyle w:val="Akapitzlist"/>
        <w:numPr>
          <w:ilvl w:val="1"/>
          <w:numId w:val="1"/>
        </w:numPr>
        <w:spacing w:after="240" w:line="276" w:lineRule="auto"/>
        <w:rPr>
          <w:b/>
          <w:bCs/>
        </w:rPr>
      </w:pPr>
      <w:r w:rsidRPr="00012E0A">
        <w:rPr>
          <w:b/>
          <w:bCs/>
        </w:rPr>
        <w:t>Ogólne zasady odbioru robót</w:t>
      </w:r>
    </w:p>
    <w:p w14:paraId="5CFBEE53" w14:textId="58AA73DA" w:rsidR="007E75E5" w:rsidRDefault="007E75E5" w:rsidP="007E75E5">
      <w:pPr>
        <w:pStyle w:val="Akapitzlist"/>
        <w:spacing w:after="240" w:line="276" w:lineRule="auto"/>
        <w:ind w:left="792"/>
      </w:pPr>
      <w:r>
        <w:t>W zależności od ustaleń i odpowiednich norm, roboty podlegające etapom robót:</w:t>
      </w:r>
    </w:p>
    <w:p w14:paraId="609FAB3B" w14:textId="77777777" w:rsidR="007E75E5" w:rsidRDefault="007E75E5" w:rsidP="007E75E5">
      <w:pPr>
        <w:pStyle w:val="Akapitzlist"/>
        <w:numPr>
          <w:ilvl w:val="2"/>
          <w:numId w:val="1"/>
        </w:numPr>
        <w:spacing w:after="240" w:line="276" w:lineRule="auto"/>
      </w:pPr>
      <w:r>
        <w:t>Odbiór robót zanikających i ulegających zakryciu</w:t>
      </w:r>
    </w:p>
    <w:p w14:paraId="6878CE66" w14:textId="77777777" w:rsidR="007E75E5" w:rsidRDefault="007E75E5" w:rsidP="007E75E5">
      <w:pPr>
        <w:pStyle w:val="Akapitzlist"/>
        <w:numPr>
          <w:ilvl w:val="2"/>
          <w:numId w:val="1"/>
        </w:numPr>
        <w:spacing w:after="240" w:line="276" w:lineRule="auto"/>
      </w:pPr>
      <w:r>
        <w:t>Odbiór końcowy</w:t>
      </w:r>
    </w:p>
    <w:p w14:paraId="38E8F39D" w14:textId="16A04CF2" w:rsidR="007E75E5" w:rsidRDefault="007E75E5" w:rsidP="007E75E5">
      <w:pPr>
        <w:pStyle w:val="Akapitzlist"/>
        <w:spacing w:after="240" w:line="276" w:lineRule="auto"/>
        <w:ind w:left="360"/>
      </w:pPr>
      <w:r>
        <w:t>Odbioru dokonuje inwestor. Odbiór polega na ocenie jakości i robót i zgodności z zakresem określonym w opisie przedmiotu zamówienia.</w:t>
      </w:r>
    </w:p>
    <w:p w14:paraId="6597D569" w14:textId="666D0A19" w:rsidR="007E75E5" w:rsidRPr="00012E0A" w:rsidRDefault="007E75E5" w:rsidP="0028401E">
      <w:pPr>
        <w:pStyle w:val="Akapitzlist"/>
        <w:numPr>
          <w:ilvl w:val="1"/>
          <w:numId w:val="1"/>
        </w:numPr>
        <w:spacing w:after="240" w:line="276" w:lineRule="auto"/>
        <w:rPr>
          <w:b/>
          <w:bCs/>
        </w:rPr>
      </w:pPr>
      <w:r w:rsidRPr="00012E0A">
        <w:rPr>
          <w:b/>
          <w:bCs/>
        </w:rPr>
        <w:t>Sprawdzanie jakości wykonanych robót</w:t>
      </w:r>
    </w:p>
    <w:p w14:paraId="02BAEFCF" w14:textId="70089BBF" w:rsidR="007E75E5" w:rsidRDefault="007E75E5" w:rsidP="007E75E5">
      <w:pPr>
        <w:pStyle w:val="Akapitzlist"/>
        <w:spacing w:after="240" w:line="276" w:lineRule="auto"/>
        <w:ind w:left="792"/>
      </w:pPr>
      <w:r>
        <w:t>Sprawdzanie jakości wykonanych robót obejmuje:</w:t>
      </w:r>
    </w:p>
    <w:p w14:paraId="18445FB3" w14:textId="15666F04" w:rsidR="007E75E5" w:rsidRDefault="007E75E5" w:rsidP="007E75E5">
      <w:pPr>
        <w:pStyle w:val="Akapitzlist"/>
        <w:numPr>
          <w:ilvl w:val="2"/>
          <w:numId w:val="1"/>
        </w:numPr>
        <w:spacing w:after="240" w:line="276" w:lineRule="auto"/>
      </w:pPr>
      <w:r>
        <w:t>Przygotowanie podłoża,</w:t>
      </w:r>
    </w:p>
    <w:p w14:paraId="11682764" w14:textId="5B2BAEB5" w:rsidR="007E75E5" w:rsidRDefault="007E75E5" w:rsidP="007E75E5">
      <w:pPr>
        <w:pStyle w:val="Akapitzlist"/>
        <w:numPr>
          <w:ilvl w:val="2"/>
          <w:numId w:val="1"/>
        </w:numPr>
        <w:spacing w:after="240" w:line="276" w:lineRule="auto"/>
      </w:pPr>
      <w:r>
        <w:t>Jakości wbudowanych materiałów,</w:t>
      </w:r>
    </w:p>
    <w:p w14:paraId="509FD126" w14:textId="66892CD7" w:rsidR="00734B7E" w:rsidRDefault="007E75E5" w:rsidP="00734B7E">
      <w:pPr>
        <w:pStyle w:val="Akapitzlist"/>
        <w:numPr>
          <w:ilvl w:val="2"/>
          <w:numId w:val="1"/>
        </w:numPr>
        <w:spacing w:after="240" w:line="276" w:lineRule="auto"/>
      </w:pPr>
      <w:r>
        <w:t>Faktury i kolorystyki.</w:t>
      </w:r>
    </w:p>
    <w:p w14:paraId="4B78B2B5" w14:textId="570FC7E9" w:rsidR="007E75E5" w:rsidRPr="00012E0A" w:rsidRDefault="007E75E5" w:rsidP="007E75E5">
      <w:pPr>
        <w:pStyle w:val="Akapitzlist"/>
        <w:numPr>
          <w:ilvl w:val="0"/>
          <w:numId w:val="1"/>
        </w:numPr>
        <w:spacing w:after="240" w:line="276" w:lineRule="auto"/>
        <w:rPr>
          <w:b/>
          <w:bCs/>
        </w:rPr>
      </w:pPr>
      <w:r w:rsidRPr="00012E0A">
        <w:rPr>
          <w:b/>
          <w:bCs/>
        </w:rPr>
        <w:t>PRZEPISY ZWIĄZANE</w:t>
      </w:r>
    </w:p>
    <w:p w14:paraId="106F10BA" w14:textId="325E0DCD" w:rsidR="007E75E5" w:rsidRDefault="007E75E5" w:rsidP="007E75E5">
      <w:pPr>
        <w:pStyle w:val="Akapitzlist"/>
        <w:numPr>
          <w:ilvl w:val="1"/>
          <w:numId w:val="1"/>
        </w:numPr>
        <w:spacing w:after="240" w:line="276" w:lineRule="auto"/>
      </w:pPr>
      <w:r>
        <w:t>Karty techniczne produktów</w:t>
      </w:r>
    </w:p>
    <w:p w14:paraId="32F7FADE" w14:textId="4B8405E6" w:rsidR="00012E0A" w:rsidRDefault="00012E0A" w:rsidP="007E75E5">
      <w:pPr>
        <w:pStyle w:val="Akapitzlist"/>
        <w:numPr>
          <w:ilvl w:val="1"/>
          <w:numId w:val="1"/>
        </w:numPr>
        <w:spacing w:after="240" w:line="276" w:lineRule="auto"/>
      </w:pPr>
      <w:r>
        <w:t>Instrukcja instalacji wydana przez producenta</w:t>
      </w:r>
    </w:p>
    <w:p w14:paraId="7DBF98F7" w14:textId="4886DFB0" w:rsidR="00012E0A" w:rsidRDefault="00012E0A" w:rsidP="007E75E5">
      <w:pPr>
        <w:pStyle w:val="Akapitzlist"/>
        <w:numPr>
          <w:ilvl w:val="1"/>
          <w:numId w:val="1"/>
        </w:numPr>
        <w:spacing w:after="240" w:line="276" w:lineRule="auto"/>
      </w:pPr>
      <w:r>
        <w:t>Normy związane.</w:t>
      </w:r>
    </w:p>
    <w:p w14:paraId="7E70CD74" w14:textId="77777777" w:rsidR="00012E0A" w:rsidRPr="007E75E5" w:rsidRDefault="00012E0A" w:rsidP="00012E0A">
      <w:pPr>
        <w:pStyle w:val="Akapitzlist"/>
        <w:spacing w:after="240" w:line="276" w:lineRule="auto"/>
        <w:ind w:left="360"/>
      </w:pPr>
    </w:p>
    <w:sectPr w:rsidR="00012E0A" w:rsidRPr="007E75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altName w:val="Thorndale"/>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E2EB8"/>
    <w:multiLevelType w:val="hybridMultilevel"/>
    <w:tmpl w:val="F92E0E1C"/>
    <w:lvl w:ilvl="0" w:tplc="CBD0993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4873C94"/>
    <w:multiLevelType w:val="multilevel"/>
    <w:tmpl w:val="E06C454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bullet"/>
      <w:lvlText w:val="-"/>
      <w:lvlJc w:val="left"/>
      <w:pPr>
        <w:ind w:left="1224" w:hanging="50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0B90DD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15D088E"/>
    <w:multiLevelType w:val="multilevel"/>
    <w:tmpl w:val="21925E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bullet"/>
      <w:lvlText w:val="-"/>
      <w:lvlJc w:val="left"/>
      <w:pPr>
        <w:ind w:left="1224" w:hanging="50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E46463E"/>
    <w:multiLevelType w:val="multilevel"/>
    <w:tmpl w:val="21925E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bullet"/>
      <w:lvlText w:val="-"/>
      <w:lvlJc w:val="left"/>
      <w:pPr>
        <w:ind w:left="1224" w:hanging="50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8B87A14"/>
    <w:multiLevelType w:val="hybridMultilevel"/>
    <w:tmpl w:val="364A104C"/>
    <w:lvl w:ilvl="0" w:tplc="CBD0993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E1A43CB"/>
    <w:multiLevelType w:val="multilevel"/>
    <w:tmpl w:val="55CE54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bullet"/>
      <w:lvlText w:val="-"/>
      <w:lvlJc w:val="left"/>
      <w:pPr>
        <w:ind w:left="1224" w:hanging="50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68E6B0A"/>
    <w:multiLevelType w:val="multilevel"/>
    <w:tmpl w:val="21925E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bullet"/>
      <w:lvlText w:val="-"/>
      <w:lvlJc w:val="left"/>
      <w:pPr>
        <w:ind w:left="1224" w:hanging="50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05585577">
    <w:abstractNumId w:val="4"/>
  </w:num>
  <w:num w:numId="2" w16cid:durableId="761996678">
    <w:abstractNumId w:val="5"/>
  </w:num>
  <w:num w:numId="3" w16cid:durableId="1858734914">
    <w:abstractNumId w:val="2"/>
  </w:num>
  <w:num w:numId="4" w16cid:durableId="1376736138">
    <w:abstractNumId w:val="0"/>
  </w:num>
  <w:num w:numId="5" w16cid:durableId="23486605">
    <w:abstractNumId w:val="6"/>
  </w:num>
  <w:num w:numId="6" w16cid:durableId="1397892883">
    <w:abstractNumId w:val="3"/>
  </w:num>
  <w:num w:numId="7" w16cid:durableId="1323970605">
    <w:abstractNumId w:val="7"/>
  </w:num>
  <w:num w:numId="8" w16cid:durableId="1315453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7C1"/>
    <w:rsid w:val="00012E0A"/>
    <w:rsid w:val="00066D0C"/>
    <w:rsid w:val="00072B54"/>
    <w:rsid w:val="00113D72"/>
    <w:rsid w:val="001522E7"/>
    <w:rsid w:val="001E549D"/>
    <w:rsid w:val="0028401E"/>
    <w:rsid w:val="002A37C1"/>
    <w:rsid w:val="00382A4F"/>
    <w:rsid w:val="004B4D6F"/>
    <w:rsid w:val="0056752B"/>
    <w:rsid w:val="005D554F"/>
    <w:rsid w:val="006023C4"/>
    <w:rsid w:val="006836C3"/>
    <w:rsid w:val="00734B7E"/>
    <w:rsid w:val="00745D2E"/>
    <w:rsid w:val="007E75E5"/>
    <w:rsid w:val="00855695"/>
    <w:rsid w:val="0097021E"/>
    <w:rsid w:val="00A92CC6"/>
    <w:rsid w:val="00AC2AE0"/>
    <w:rsid w:val="00B91587"/>
    <w:rsid w:val="00BD4EFD"/>
    <w:rsid w:val="00CA57D6"/>
    <w:rsid w:val="00D02D08"/>
    <w:rsid w:val="00D56C63"/>
    <w:rsid w:val="00D614C1"/>
    <w:rsid w:val="00E24F33"/>
    <w:rsid w:val="00EA69A8"/>
    <w:rsid w:val="00ED52DB"/>
    <w:rsid w:val="00F61EC5"/>
    <w:rsid w:val="00F853DA"/>
    <w:rsid w:val="00F965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34987"/>
  <w15:chartTrackingRefBased/>
  <w15:docId w15:val="{039B7100-E455-45FC-A80B-AB65F6DD8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C2A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A37C1"/>
    <w:pPr>
      <w:ind w:left="720"/>
      <w:contextualSpacing/>
    </w:pPr>
  </w:style>
  <w:style w:type="character" w:customStyle="1" w:styleId="Nagwek1Znak">
    <w:name w:val="Nagłówek 1 Znak"/>
    <w:basedOn w:val="Domylnaczcionkaakapitu"/>
    <w:link w:val="Nagwek1"/>
    <w:uiPriority w:val="9"/>
    <w:rsid w:val="00AC2AE0"/>
    <w:rPr>
      <w:rFonts w:asciiTheme="majorHAnsi" w:eastAsiaTheme="majorEastAsia" w:hAnsiTheme="majorHAnsi" w:cstheme="majorBidi"/>
      <w:color w:val="2F5496" w:themeColor="accent1" w:themeShade="BF"/>
      <w:sz w:val="32"/>
      <w:szCs w:val="32"/>
    </w:rPr>
  </w:style>
  <w:style w:type="character" w:styleId="Hipercze">
    <w:name w:val="Hyperlink"/>
    <w:basedOn w:val="Domylnaczcionkaakapitu"/>
    <w:uiPriority w:val="99"/>
    <w:semiHidden/>
    <w:unhideWhenUsed/>
    <w:rsid w:val="006836C3"/>
    <w:rPr>
      <w:color w:val="0000FF"/>
      <w:u w:val="single"/>
    </w:rPr>
  </w:style>
  <w:style w:type="paragraph" w:customStyle="1" w:styleId="styl1">
    <w:name w:val="styl1"/>
    <w:basedOn w:val="Normalny"/>
    <w:rsid w:val="006836C3"/>
    <w:pPr>
      <w:widowControl w:val="0"/>
      <w:autoSpaceDN w:val="0"/>
      <w:spacing w:before="100" w:after="100" w:line="256" w:lineRule="auto"/>
    </w:pPr>
    <w:rPr>
      <w:rFonts w:ascii="Times New Roman" w:eastAsia="Calibri" w:hAnsi="Times New Roman" w:cs="Times New Roman"/>
      <w:kern w:val="0"/>
      <w:lang w:eastAsia="pl-PL"/>
      <w14:ligatures w14:val="none"/>
    </w:rPr>
  </w:style>
  <w:style w:type="paragraph" w:customStyle="1" w:styleId="Akapitzlist1">
    <w:name w:val="Akapit z listą1"/>
    <w:basedOn w:val="Normalny"/>
    <w:rsid w:val="006836C3"/>
    <w:pPr>
      <w:suppressAutoHyphens/>
      <w:spacing w:after="200" w:line="276" w:lineRule="auto"/>
      <w:ind w:left="720"/>
    </w:pPr>
    <w:rPr>
      <w:rFonts w:ascii="Calibri" w:eastAsia="Calibri" w:hAnsi="Calibri" w:cs="Times New Roman"/>
      <w:lang w:eastAsia="hi-I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9994779">
      <w:bodyDiv w:val="1"/>
      <w:marLeft w:val="0"/>
      <w:marRight w:val="0"/>
      <w:marTop w:val="0"/>
      <w:marBottom w:val="0"/>
      <w:divBdr>
        <w:top w:val="none" w:sz="0" w:space="0" w:color="auto"/>
        <w:left w:val="none" w:sz="0" w:space="0" w:color="auto"/>
        <w:bottom w:val="none" w:sz="0" w:space="0" w:color="auto"/>
        <w:right w:val="none" w:sz="0" w:space="0" w:color="auto"/>
      </w:divBdr>
    </w:div>
    <w:div w:id="161725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IFA.com"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5</Pages>
  <Words>1082</Words>
  <Characters>6492</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Wilak</dc:creator>
  <cp:keywords/>
  <dc:description/>
  <cp:lastModifiedBy>Agnieszka Skrzypczak</cp:lastModifiedBy>
  <cp:revision>7</cp:revision>
  <dcterms:created xsi:type="dcterms:W3CDTF">2024-01-25T09:14:00Z</dcterms:created>
  <dcterms:modified xsi:type="dcterms:W3CDTF">2024-05-22T11:46:00Z</dcterms:modified>
</cp:coreProperties>
</file>