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6A881" w14:textId="77777777" w:rsidR="00755E97" w:rsidRDefault="00755E97" w:rsidP="00755E97">
      <w:pPr>
        <w:spacing w:before="120" w:after="240" w:line="240" w:lineRule="auto"/>
        <w:jc w:val="right"/>
        <w:rPr>
          <w:rFonts w:ascii="Century Gothic" w:hAnsi="Century Gothic"/>
          <w:i/>
          <w:iCs/>
          <w:sz w:val="16"/>
          <w:szCs w:val="16"/>
        </w:rPr>
      </w:pPr>
      <w:bookmarkStart w:id="0" w:name="_GoBack"/>
      <w:bookmarkEnd w:id="0"/>
      <w:r>
        <w:rPr>
          <w:rFonts w:ascii="Century Gothic" w:hAnsi="Century Gothic"/>
          <w:i/>
          <w:iCs/>
          <w:sz w:val="16"/>
          <w:szCs w:val="16"/>
        </w:rPr>
        <w:t>Załącznik nr ____ do umowy</w:t>
      </w:r>
      <w:r>
        <w:rPr>
          <w:rFonts w:ascii="Century Gothic" w:hAnsi="Century Gothic"/>
          <w:i/>
          <w:iCs/>
          <w:sz w:val="16"/>
          <w:szCs w:val="16"/>
        </w:rPr>
        <w:br/>
        <w:t>nr ____________, z dnia ____________ 20____ r.</w:t>
      </w:r>
    </w:p>
    <w:p w14:paraId="1F6B501B" w14:textId="77777777" w:rsidR="00755E97" w:rsidRDefault="00755E97" w:rsidP="00755E97">
      <w:pPr>
        <w:spacing w:line="240" w:lineRule="auto"/>
        <w:contextualSpacing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72ECDD38" w14:textId="77777777" w:rsidR="00755E97" w:rsidRDefault="00755E97" w:rsidP="00755E97">
      <w:pPr>
        <w:spacing w:line="240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>
        <w:rPr>
          <w:rFonts w:ascii="Century Gothic" w:hAnsi="Century Gothic" w:cstheme="minorHAnsi"/>
          <w:sz w:val="16"/>
          <w:szCs w:val="16"/>
        </w:rPr>
        <w:t>ZAMÓWIENIA PUBLICZNE –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UMOWY ZLECENIE ORAZ UMOWY O ŚWIADCZENIE USŁUG ZAWIERANE Z PRZEDSIĘBIORCAMI</w:t>
      </w:r>
    </w:p>
    <w:p w14:paraId="03EF9D24" w14:textId="77777777" w:rsidR="00755E97" w:rsidRDefault="00755E97" w:rsidP="00755E97">
      <w:pPr>
        <w:spacing w:before="120" w:after="120" w:line="24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>
        <w:rPr>
          <w:rFonts w:ascii="Century Gothic" w:hAnsi="Century Gothic" w:cstheme="minorHAnsi"/>
          <w:sz w:val="16"/>
          <w:szCs w:val="16"/>
        </w:rPr>
        <w:t xml:space="preserve"> STRONY UMOWY, OSOBY REPREZENTUJĄCE STRONY, OSOBY REALIZUJĄCE UMOWĘ</w:t>
      </w:r>
    </w:p>
    <w:p w14:paraId="4CB5233A" w14:textId="114CAEF6" w:rsidR="006B09F3" w:rsidRPr="00595D1A" w:rsidRDefault="006B09F3" w:rsidP="001E40A5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</w:t>
      </w:r>
      <w:r w:rsidRPr="00595D1A">
        <w:rPr>
          <w:rFonts w:ascii="Century Gothic" w:hAnsi="Century Gothic" w:cstheme="minorHAnsi"/>
          <w:b/>
          <w:bCs/>
          <w:sz w:val="16"/>
          <w:szCs w:val="16"/>
        </w:rPr>
        <w:t>to wykorzystuje dane:</w:t>
      </w:r>
      <w:r w:rsidRPr="00595D1A">
        <w:rPr>
          <w:rFonts w:ascii="Century Gothic" w:hAnsi="Century Gothic" w:cstheme="minorHAnsi"/>
          <w:sz w:val="16"/>
          <w:szCs w:val="16"/>
        </w:rPr>
        <w:t xml:space="preserve"> Gmina </w:t>
      </w:r>
      <w:r>
        <w:rPr>
          <w:rFonts w:ascii="Century Gothic" w:hAnsi="Century Gothic" w:cstheme="minorHAnsi"/>
          <w:sz w:val="16"/>
          <w:szCs w:val="16"/>
        </w:rPr>
        <w:t>Świlcza</w:t>
      </w:r>
      <w:r w:rsidR="00B0006B">
        <w:rPr>
          <w:rFonts w:ascii="Century Gothic" w:hAnsi="Century Gothic" w:cstheme="minorHAnsi"/>
          <w:sz w:val="16"/>
          <w:szCs w:val="16"/>
        </w:rPr>
        <w:t xml:space="preserve"> (Zamawiający)</w:t>
      </w:r>
      <w:r>
        <w:rPr>
          <w:rFonts w:ascii="Century Gothic" w:hAnsi="Century Gothic" w:cstheme="minorHAnsi"/>
          <w:sz w:val="16"/>
          <w:szCs w:val="16"/>
        </w:rPr>
        <w:t xml:space="preserve"> –</w:t>
      </w:r>
      <w:r w:rsidRPr="00595D1A">
        <w:rPr>
          <w:rFonts w:ascii="Century Gothic" w:hAnsi="Century Gothic" w:cstheme="minorHAnsi"/>
          <w:sz w:val="16"/>
          <w:szCs w:val="16"/>
        </w:rPr>
        <w:t xml:space="preserve"> NIP: </w:t>
      </w:r>
      <w:r w:rsidRPr="00896BC0">
        <w:rPr>
          <w:rFonts w:ascii="Century Gothic" w:hAnsi="Century Gothic" w:cstheme="minorHAnsi"/>
          <w:sz w:val="16"/>
          <w:szCs w:val="16"/>
        </w:rPr>
        <w:t>5170045613</w:t>
      </w:r>
      <w:r w:rsidRPr="00595D1A">
        <w:rPr>
          <w:rFonts w:ascii="Century Gothic" w:hAnsi="Century Gothic" w:cstheme="minorHAnsi"/>
          <w:sz w:val="16"/>
          <w:szCs w:val="16"/>
        </w:rPr>
        <w:t xml:space="preserve">, REGON: </w:t>
      </w:r>
      <w:r w:rsidRPr="005C525C">
        <w:rPr>
          <w:rFonts w:ascii="Century Gothic" w:hAnsi="Century Gothic" w:cstheme="minorHAnsi"/>
          <w:sz w:val="16"/>
          <w:szCs w:val="16"/>
        </w:rPr>
        <w:t>690582140</w:t>
      </w:r>
      <w:r w:rsidRPr="00595D1A">
        <w:rPr>
          <w:rFonts w:ascii="Century Gothic" w:hAnsi="Century Gothic" w:cstheme="minorHAnsi"/>
          <w:sz w:val="16"/>
          <w:szCs w:val="16"/>
        </w:rPr>
        <w:t>.</w:t>
      </w:r>
    </w:p>
    <w:p w14:paraId="5C155577" w14:textId="77777777" w:rsidR="006B09F3" w:rsidRPr="00595D1A" w:rsidRDefault="006B09F3" w:rsidP="001E40A5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entury Gothic" w:hAnsi="Century Gothic" w:cstheme="minorHAnsi"/>
          <w:sz w:val="16"/>
          <w:szCs w:val="16"/>
        </w:rPr>
      </w:pPr>
      <w:r w:rsidRPr="00595D1A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>
        <w:rPr>
          <w:rFonts w:ascii="Century Gothic" w:hAnsi="Century Gothic" w:cstheme="minorHAnsi"/>
          <w:sz w:val="16"/>
          <w:szCs w:val="16"/>
        </w:rPr>
        <w:t xml:space="preserve">36-072 Świlcza 168; </w:t>
      </w:r>
      <w:r w:rsidRPr="002C6CB8">
        <w:rPr>
          <w:rFonts w:ascii="Century Gothic" w:hAnsi="Century Gothic" w:cstheme="minorHAnsi"/>
          <w:sz w:val="16"/>
          <w:szCs w:val="16"/>
        </w:rPr>
        <w:t>ug.swilcza@intertele.pl</w:t>
      </w:r>
      <w:r>
        <w:rPr>
          <w:rFonts w:ascii="Century Gothic" w:hAnsi="Century Gothic" w:cstheme="minorHAnsi"/>
          <w:sz w:val="16"/>
          <w:szCs w:val="16"/>
        </w:rPr>
        <w:t>.</w:t>
      </w:r>
      <w:r w:rsidRPr="00595D1A">
        <w:rPr>
          <w:rFonts w:ascii="Century Gothic" w:hAnsi="Century Gothic" w:cstheme="minorHAnsi"/>
          <w:sz w:val="16"/>
          <w:szCs w:val="16"/>
        </w:rPr>
        <w:t xml:space="preserve"> </w:t>
      </w:r>
    </w:p>
    <w:p w14:paraId="397C9790" w14:textId="59EE5212" w:rsidR="006B09F3" w:rsidRPr="002805EF" w:rsidRDefault="006B09F3" w:rsidP="001E40A5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entury Gothic" w:hAnsi="Century Gothic" w:cstheme="minorHAnsi"/>
          <w:sz w:val="16"/>
          <w:szCs w:val="16"/>
        </w:rPr>
      </w:pPr>
      <w:r w:rsidRPr="007A518F">
        <w:rPr>
          <w:rFonts w:ascii="Century Gothic" w:hAnsi="Century Gothic" w:cstheme="minorHAnsi"/>
          <w:b/>
          <w:bCs/>
          <w:sz w:val="16"/>
          <w:szCs w:val="16"/>
        </w:rPr>
        <w:t>Pomoc inspektora ochrony danych:</w:t>
      </w:r>
      <w:r w:rsidRPr="007A518F">
        <w:rPr>
          <w:rFonts w:ascii="Century Gothic" w:hAnsi="Century Gothic" w:cstheme="minorHAnsi"/>
          <w:sz w:val="16"/>
          <w:szCs w:val="16"/>
        </w:rPr>
        <w:t xml:space="preserve"> </w:t>
      </w:r>
      <w:r w:rsidRPr="004B52FF">
        <w:rPr>
          <w:rFonts w:ascii="Century Gothic" w:hAnsi="Century Gothic"/>
          <w:sz w:val="16"/>
          <w:szCs w:val="16"/>
        </w:rPr>
        <w:t>iod-kontakt@swilcza.com.pl</w:t>
      </w:r>
      <w:r w:rsidRPr="009C652D">
        <w:rPr>
          <w:rFonts w:ascii="Century Gothic" w:hAnsi="Century Gothic"/>
          <w:sz w:val="16"/>
          <w:szCs w:val="16"/>
        </w:rPr>
        <w:t>.</w:t>
      </w:r>
    </w:p>
    <w:p w14:paraId="31BC1430" w14:textId="77777777" w:rsidR="00755E97" w:rsidRDefault="00755E97" w:rsidP="001E40A5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Kim jest inspektor ochrony danych:</w:t>
      </w:r>
      <w:r>
        <w:rPr>
          <w:rFonts w:ascii="Century Gothic" w:hAnsi="Century Gothic"/>
          <w:sz w:val="16"/>
          <w:szCs w:val="16"/>
        </w:rPr>
        <w:t xml:space="preserve"> inspektor ochrony danych to niezależny specjalista w dziedzinie bezpieczeństwa danych osobowych. Przyjmuje pytania i wnioski związane z wykorzystywaniem danych osobowych oraz zgłoszenia o nieprawidłowościach. </w:t>
      </w:r>
    </w:p>
    <w:p w14:paraId="175F331B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Cel i podstawy prawne wykorzystania danych:</w:t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5159"/>
        <w:gridCol w:w="3739"/>
      </w:tblGrid>
      <w:tr w:rsidR="00755E97" w14:paraId="062D45ED" w14:textId="77777777" w:rsidTr="00B234E3">
        <w:tc>
          <w:tcPr>
            <w:tcW w:w="0" w:type="auto"/>
            <w:vAlign w:val="center"/>
          </w:tcPr>
          <w:p w14:paraId="3A385918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EBEAFBC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46873C0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Podstawy prawne</w:t>
            </w:r>
          </w:p>
        </w:tc>
      </w:tr>
      <w:tr w:rsidR="00755E97" w14:paraId="6C1D0417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11E038EB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Zamówienia publiczne</w:t>
            </w:r>
          </w:p>
        </w:tc>
        <w:tc>
          <w:tcPr>
            <w:tcW w:w="0" w:type="auto"/>
            <w:vAlign w:val="center"/>
            <w:hideMark/>
          </w:tcPr>
          <w:p w14:paraId="61F43C1A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Udzielenie zamówienia publicznego w trybie wybranym przez Zamawiającego (sprawowanie władzy publicznej).</w:t>
            </w:r>
          </w:p>
        </w:tc>
        <w:tc>
          <w:tcPr>
            <w:tcW w:w="0" w:type="auto"/>
            <w:vAlign w:val="center"/>
            <w:hideMark/>
          </w:tcPr>
          <w:p w14:paraId="71B29C24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1. lit. e) RODO w zw. z przepisami Ustawy z dnia 11 września 2019 r. Prawo zamówień publicznych.</w:t>
            </w:r>
          </w:p>
        </w:tc>
      </w:tr>
      <w:tr w:rsidR="00755E97" w14:paraId="1784FCC7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3032DFAA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Podatki i opłaty</w:t>
            </w:r>
          </w:p>
        </w:tc>
        <w:tc>
          <w:tcPr>
            <w:tcW w:w="0" w:type="auto"/>
            <w:vAlign w:val="center"/>
            <w:hideMark/>
          </w:tcPr>
          <w:p w14:paraId="2ABB5998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Ograniczenie ryzyka podatkowego poprzez dochowanie należytej staranności przy nabywaniu towarów i usług zgodnie z wytycznymi Ministra Finansów (uzasadniony interes prawny). </w:t>
            </w:r>
          </w:p>
          <w:p w14:paraId="7068F814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Dochowanie należytej staranności polega na: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kontrahenta w publicznie dostępnych bazach danych – CEIDG, KRS, VIES, Portal Podatkowy, tzw. Biała Lista Podatników VAT;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koncesji i zezwoleń – jeżeli są konieczne do prowadzenia działalności gospodarczej określonego rodzaju;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3.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tożsamości osób działających w imieniu kontrahenta oraz ich uprawnień do zawierania umów;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4.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 weryfikacji rzetelności stron internetowych oraz mediów społecznościowych, służących do prowadzenia działalności gospodarczej – jeżeli ich posiadanie jest przyjętą praktyką w danej branży;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5.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 ocenie czy zachodzą inne ryzyka transakcyjne, wskazane w Metodyce w zakresie oceny dochowania należytej staranności przez nabywców towarów w transakcjach krajowych.</w:t>
            </w:r>
          </w:p>
        </w:tc>
        <w:tc>
          <w:tcPr>
            <w:tcW w:w="0" w:type="auto"/>
            <w:vAlign w:val="center"/>
            <w:hideMark/>
          </w:tcPr>
          <w:p w14:paraId="06020BA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1. lit. f) RODO w zw. z art. 96b. Ustawy z dnia 11 marca 2004 r. o podatku od towarów i usług oraz zaleceniami Ministra Finansów, zawartymi w Metodyce w zakresie oceny dochowania należytej staranności przez nabywców towarów w transakcjach krajowych.</w:t>
            </w:r>
          </w:p>
        </w:tc>
      </w:tr>
      <w:tr w:rsidR="00755E97" w14:paraId="399B5B66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63E2173D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Zawieranie i wykonywanie umów</w:t>
            </w:r>
          </w:p>
        </w:tc>
        <w:tc>
          <w:tcPr>
            <w:tcW w:w="0" w:type="auto"/>
            <w:vAlign w:val="center"/>
            <w:hideMark/>
          </w:tcPr>
          <w:p w14:paraId="73A25ACB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Ustalenie warunków umownych, zawarcie i wykonanie umowy (wykonanie umowy). </w:t>
            </w:r>
          </w:p>
        </w:tc>
        <w:tc>
          <w:tcPr>
            <w:tcW w:w="0" w:type="auto"/>
            <w:vAlign w:val="center"/>
            <w:hideMark/>
          </w:tcPr>
          <w:p w14:paraId="3682239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 lit. b) RODO w zw. z przepisami Ustawy z dnia 23 kwietnia 1964 r. Kodeks cywilny.</w:t>
            </w:r>
          </w:p>
        </w:tc>
      </w:tr>
      <w:tr w:rsidR="00755E97" w14:paraId="33316BB1" w14:textId="77777777" w:rsidTr="00B234E3">
        <w:trPr>
          <w:trHeight w:val="184"/>
        </w:trPr>
        <w:tc>
          <w:tcPr>
            <w:tcW w:w="0" w:type="auto"/>
            <w:vMerge w:val="restart"/>
            <w:shd w:val="clear" w:color="auto" w:fill="B4C6E7" w:themeFill="accent1" w:themeFillTint="66"/>
            <w:vAlign w:val="center"/>
            <w:hideMark/>
          </w:tcPr>
          <w:p w14:paraId="180E3D36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Prowadzenie rachunkowości</w:t>
            </w:r>
          </w:p>
        </w:tc>
        <w:tc>
          <w:tcPr>
            <w:tcW w:w="0" w:type="auto"/>
            <w:vAlign w:val="center"/>
            <w:hideMark/>
          </w:tcPr>
          <w:p w14:paraId="754EFC55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Prowadzenie ksiąg rachunkowych zgodnie z przyjętą polityką rachunkowości (uzasadniony interes prawny).</w:t>
            </w:r>
          </w:p>
        </w:tc>
        <w:tc>
          <w:tcPr>
            <w:tcW w:w="0" w:type="auto"/>
            <w:vAlign w:val="center"/>
            <w:hideMark/>
          </w:tcPr>
          <w:p w14:paraId="72334029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Art. 6. ust. 1. lit. f) RODO w zw. z przepisami Ustawy z dnia 29 września 1994 r. o rachunkowości</w:t>
            </w:r>
          </w:p>
        </w:tc>
      </w:tr>
      <w:tr w:rsidR="00755E97" w14:paraId="1D8B3FC9" w14:textId="77777777" w:rsidTr="00B234E3">
        <w:trPr>
          <w:trHeight w:val="183"/>
        </w:trPr>
        <w:tc>
          <w:tcPr>
            <w:tcW w:w="0" w:type="auto"/>
            <w:vMerge/>
            <w:vAlign w:val="center"/>
            <w:hideMark/>
          </w:tcPr>
          <w:p w14:paraId="09FD3674" w14:textId="77777777" w:rsidR="00755E97" w:rsidRDefault="00755E97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1EA8C0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Gromadzenie i przechowywanie dowodów księgowych (obowiązek prawny).</w:t>
            </w:r>
          </w:p>
        </w:tc>
        <w:tc>
          <w:tcPr>
            <w:tcW w:w="0" w:type="auto"/>
            <w:vAlign w:val="center"/>
            <w:hideMark/>
          </w:tcPr>
          <w:p w14:paraId="7D3CB8D2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Art. 6. ust. 1. lit. c) RODO w zw. z przepisami Ustawy z dnia 29 września 1994 r. o rachunkowości</w:t>
            </w:r>
          </w:p>
        </w:tc>
      </w:tr>
      <w:tr w:rsidR="00755E97" w14:paraId="25183349" w14:textId="77777777" w:rsidTr="00B234E3"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21AC04A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Obsługa roszczeń</w:t>
            </w:r>
          </w:p>
        </w:tc>
        <w:tc>
          <w:tcPr>
            <w:tcW w:w="0" w:type="auto"/>
            <w:vAlign w:val="center"/>
            <w:hideMark/>
          </w:tcPr>
          <w:p w14:paraId="574F882F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Ustalenie i dochodzenie roszczeń oraz obrona przed roszczeniami (uzasadniony interes prawny).</w:t>
            </w:r>
          </w:p>
        </w:tc>
        <w:tc>
          <w:tcPr>
            <w:tcW w:w="0" w:type="auto"/>
            <w:vAlign w:val="center"/>
            <w:hideMark/>
          </w:tcPr>
          <w:p w14:paraId="212860D9" w14:textId="77777777" w:rsidR="00755E97" w:rsidRDefault="00755E97">
            <w:pPr>
              <w:spacing w:before="120" w:after="12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art. 6. ust. 1 lit. f) RODO w zw. z przepisami Ustawy z dnia 23 kwietnia 1964 r. Kodeks cywilny.</w:t>
            </w:r>
          </w:p>
        </w:tc>
      </w:tr>
    </w:tbl>
    <w:p w14:paraId="2C7431D1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8"/>
        <w:gridCol w:w="4821"/>
        <w:gridCol w:w="3647"/>
      </w:tblGrid>
      <w:tr w:rsidR="00755E97" w14:paraId="4B049BEC" w14:textId="77777777" w:rsidTr="00B234E3">
        <w:trPr>
          <w:jc w:val="center"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0A7DE8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OSOBY, KTÓRYCH DANE DOTYCZĄ</w:t>
            </w:r>
          </w:p>
        </w:tc>
        <w:tc>
          <w:tcPr>
            <w:tcW w:w="4821" w:type="dxa"/>
            <w:shd w:val="clear" w:color="auto" w:fill="B4C6E7" w:themeFill="accent1" w:themeFillTint="66"/>
            <w:vAlign w:val="center"/>
            <w:hideMark/>
          </w:tcPr>
          <w:p w14:paraId="4311362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DANE WYKORZYSTYWANE W ZWIĄZKU Z ZAWARTĄ UMOWĄ ZLECENIE</w:t>
            </w:r>
          </w:p>
        </w:tc>
        <w:tc>
          <w:tcPr>
            <w:tcW w:w="3647" w:type="dxa"/>
            <w:shd w:val="clear" w:color="auto" w:fill="B4C6E7" w:themeFill="accent1" w:themeFillTint="66"/>
            <w:vAlign w:val="center"/>
            <w:hideMark/>
          </w:tcPr>
          <w:p w14:paraId="0656CD0A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SKĄD POCHODZĄ DANE OSOBOWE</w:t>
            </w:r>
          </w:p>
        </w:tc>
      </w:tr>
      <w:tr w:rsidR="00755E97" w14:paraId="388CBDB4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0ADE9BC8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Strony umowy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(w przypadku osób fizycznych)</w:t>
            </w:r>
          </w:p>
        </w:tc>
        <w:tc>
          <w:tcPr>
            <w:tcW w:w="4821" w:type="dxa"/>
            <w:vAlign w:val="center"/>
            <w:hideMark/>
          </w:tcPr>
          <w:p w14:paraId="190B027A" w14:textId="77777777" w:rsidR="00755E97" w:rsidRDefault="00755E97" w:rsidP="00114D19">
            <w:pPr>
              <w:pStyle w:val="Akapitzlist"/>
              <w:numPr>
                <w:ilvl w:val="0"/>
                <w:numId w:val="2"/>
              </w:numPr>
              <w:spacing w:before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nazwisko, firma)</w:t>
            </w:r>
          </w:p>
          <w:p w14:paraId="566ACC59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NIP, numer PESEL)</w:t>
            </w:r>
          </w:p>
          <w:p w14:paraId="5A2E5DDA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zamieszkania lub siedziby, adres e-mail, numer telefonu)</w:t>
            </w:r>
          </w:p>
          <w:p w14:paraId="3FD36723" w14:textId="77777777" w:rsidR="00755E97" w:rsidRDefault="00755E97" w:rsidP="00755E97">
            <w:pPr>
              <w:pStyle w:val="Akapitzlist"/>
              <w:numPr>
                <w:ilvl w:val="0"/>
                <w:numId w:val="2"/>
              </w:numPr>
              <w:spacing w:after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finansowe (np. numery rachunków płatniczych)</w:t>
            </w:r>
          </w:p>
        </w:tc>
        <w:tc>
          <w:tcPr>
            <w:tcW w:w="3647" w:type="dxa"/>
            <w:vAlign w:val="center"/>
            <w:hideMark/>
          </w:tcPr>
          <w:p w14:paraId="2C28759E" w14:textId="77777777" w:rsidR="00755E97" w:rsidRDefault="00755E97" w:rsidP="00114D19">
            <w:pPr>
              <w:pStyle w:val="Akapitzlist"/>
              <w:numPr>
                <w:ilvl w:val="0"/>
                <w:numId w:val="3"/>
              </w:numPr>
              <w:spacing w:before="80" w:line="240" w:lineRule="auto"/>
              <w:ind w:left="357" w:hanging="357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  <w:p w14:paraId="27350850" w14:textId="77777777" w:rsidR="00755E97" w:rsidRDefault="00755E97" w:rsidP="00114D19">
            <w:pPr>
              <w:pStyle w:val="Akapitzlist"/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Publicznie dostępne bazy danych: KRS, CEIDG, VIES, Portal Podatkowy oraz tzw. Biała Lista Podatników VAT.</w:t>
            </w:r>
          </w:p>
        </w:tc>
      </w:tr>
      <w:tr w:rsidR="00755E97" w14:paraId="2DF01067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0A5677AA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 reprezentujące strony umowy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(przedstawiciele ustawowi)</w:t>
            </w:r>
          </w:p>
        </w:tc>
        <w:tc>
          <w:tcPr>
            <w:tcW w:w="4821" w:type="dxa"/>
            <w:vAlign w:val="center"/>
            <w:hideMark/>
          </w:tcPr>
          <w:p w14:paraId="32395CFF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5DB16ADE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PESEL)</w:t>
            </w:r>
          </w:p>
          <w:p w14:paraId="7A5DA461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7578265B" w14:textId="77777777" w:rsidR="00755E97" w:rsidRDefault="00755E97" w:rsidP="00114D19">
            <w:pPr>
              <w:pStyle w:val="Akapitzlist"/>
              <w:numPr>
                <w:ilvl w:val="0"/>
                <w:numId w:val="4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1D645A7C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  <w:tr w:rsidR="00755E97" w14:paraId="0A712977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6DB21296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lastRenderedPageBreak/>
              <w:t>Pełnomocnicy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br/>
            </w:r>
            <w:r>
              <w:rPr>
                <w:rFonts w:ascii="Century Gothic" w:hAnsi="Century Gothic" w:cstheme="minorHAnsi"/>
                <w:sz w:val="16"/>
                <w:szCs w:val="16"/>
              </w:rPr>
              <w:t>(w tym prokurenci)</w:t>
            </w:r>
          </w:p>
        </w:tc>
        <w:tc>
          <w:tcPr>
            <w:tcW w:w="4821" w:type="dxa"/>
            <w:vAlign w:val="center"/>
            <w:hideMark/>
          </w:tcPr>
          <w:p w14:paraId="637FF628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3F134B80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identyfikacyjne przyznane przez organy publiczne (np. numer PESEL)</w:t>
            </w:r>
          </w:p>
          <w:p w14:paraId="624447B6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708005A1" w14:textId="77777777" w:rsidR="00755E97" w:rsidRDefault="00755E97" w:rsidP="00114D19">
            <w:pPr>
              <w:pStyle w:val="Akapitzlist"/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7A64DCA2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  <w:tr w:rsidR="00755E97" w14:paraId="16A893C0" w14:textId="77777777" w:rsidTr="00B234E3">
        <w:trPr>
          <w:jc w:val="center"/>
        </w:trPr>
        <w:tc>
          <w:tcPr>
            <w:tcW w:w="0" w:type="auto"/>
            <w:vAlign w:val="center"/>
            <w:hideMark/>
          </w:tcPr>
          <w:p w14:paraId="32508263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Osoby realizujące umowę</w:t>
            </w:r>
          </w:p>
        </w:tc>
        <w:tc>
          <w:tcPr>
            <w:tcW w:w="4821" w:type="dxa"/>
            <w:vAlign w:val="center"/>
            <w:hideMark/>
          </w:tcPr>
          <w:p w14:paraId="55A6E6BB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Podstawowe dane identyfikacyjne (np. imię i nazwisko)</w:t>
            </w:r>
          </w:p>
          <w:p w14:paraId="7EEE7ACE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dot. zatrudnienia (np. miejsce pracy, stanowisko służbowe)</w:t>
            </w:r>
          </w:p>
          <w:p w14:paraId="1DEA401A" w14:textId="77777777" w:rsidR="00755E97" w:rsidRDefault="00755E97" w:rsidP="00114D19">
            <w:pPr>
              <w:pStyle w:val="Akapitzlist"/>
              <w:numPr>
                <w:ilvl w:val="0"/>
                <w:numId w:val="6"/>
              </w:numPr>
              <w:spacing w:before="80" w:after="80" w:line="240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Dane kontaktowe (np. adres e-mail, numer telefonu)</w:t>
            </w:r>
          </w:p>
        </w:tc>
        <w:tc>
          <w:tcPr>
            <w:tcW w:w="3647" w:type="dxa"/>
            <w:vAlign w:val="center"/>
            <w:hideMark/>
          </w:tcPr>
          <w:p w14:paraId="3EA9E450" w14:textId="77777777" w:rsidR="00755E97" w:rsidRDefault="00755E97">
            <w:pPr>
              <w:spacing w:before="80" w:after="8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5C38F98D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Kto otrzyma dane: 1. </w:t>
      </w:r>
      <w:r>
        <w:rPr>
          <w:rFonts w:ascii="Century Gothic" w:hAnsi="Century Gothic" w:cstheme="minorHAnsi"/>
          <w:sz w:val="16"/>
          <w:szCs w:val="16"/>
        </w:rPr>
        <w:t xml:space="preserve">dostawca programu do elektronicznego zarządzania dokumentacją; </w:t>
      </w:r>
      <w:r>
        <w:rPr>
          <w:rFonts w:ascii="Century Gothic" w:hAnsi="Century Gothic" w:cstheme="minorHAnsi"/>
          <w:b/>
          <w:bCs/>
          <w:sz w:val="16"/>
          <w:szCs w:val="16"/>
        </w:rPr>
        <w:t>2.</w:t>
      </w:r>
      <w:r>
        <w:rPr>
          <w:rFonts w:ascii="Century Gothic" w:hAnsi="Century Gothic" w:cstheme="minorHAnsi"/>
          <w:sz w:val="16"/>
          <w:szCs w:val="16"/>
        </w:rPr>
        <w:t xml:space="preserve"> dostawca poczty e-mail; </w:t>
      </w:r>
      <w:r>
        <w:rPr>
          <w:rFonts w:ascii="Century Gothic" w:hAnsi="Century Gothic" w:cstheme="minorHAnsi"/>
          <w:b/>
          <w:bCs/>
          <w:sz w:val="16"/>
          <w:szCs w:val="16"/>
        </w:rPr>
        <w:t>3.</w:t>
      </w:r>
      <w:r>
        <w:rPr>
          <w:rFonts w:ascii="Century Gothic" w:hAnsi="Century Gothic" w:cstheme="minorHAnsi"/>
          <w:sz w:val="16"/>
          <w:szCs w:val="16"/>
        </w:rPr>
        <w:t xml:space="preserve"> kancelarie adwokackie, radcowskie i doradztwa prawnego, którym zlecono świadczenie pomocy prawnej; </w:t>
      </w:r>
      <w:r>
        <w:rPr>
          <w:rFonts w:ascii="Century Gothic" w:hAnsi="Century Gothic" w:cstheme="minorHAnsi"/>
          <w:b/>
          <w:bCs/>
          <w:sz w:val="16"/>
          <w:szCs w:val="16"/>
        </w:rPr>
        <w:t>4.</w:t>
      </w:r>
      <w:r>
        <w:rPr>
          <w:rFonts w:ascii="Century Gothic" w:hAnsi="Century Gothic" w:cstheme="minorHAnsi"/>
          <w:sz w:val="16"/>
          <w:szCs w:val="16"/>
        </w:rPr>
        <w:t> w przypadku ewentualnego postępowania egzekucyjnego – podmioty, którym zlecono egzekucję wierzytelności.</w:t>
      </w:r>
    </w:p>
    <w:p w14:paraId="10CA7709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755E97" w14:paraId="3B1E7927" w14:textId="77777777" w:rsidTr="00B234E3">
        <w:tc>
          <w:tcPr>
            <w:tcW w:w="3479" w:type="dxa"/>
            <w:shd w:val="clear" w:color="auto" w:fill="B4C6E7" w:themeFill="accent1" w:themeFillTint="66"/>
            <w:vAlign w:val="center"/>
            <w:hideMark/>
          </w:tcPr>
          <w:p w14:paraId="42453B75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Kategorie danych</w:t>
            </w:r>
          </w:p>
        </w:tc>
        <w:tc>
          <w:tcPr>
            <w:tcW w:w="3478" w:type="dxa"/>
            <w:shd w:val="clear" w:color="auto" w:fill="B4C6E7" w:themeFill="accent1" w:themeFillTint="66"/>
            <w:vAlign w:val="center"/>
            <w:hideMark/>
          </w:tcPr>
          <w:p w14:paraId="7506D14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Okresy przechowywania</w:t>
            </w:r>
          </w:p>
        </w:tc>
        <w:tc>
          <w:tcPr>
            <w:tcW w:w="3479" w:type="dxa"/>
            <w:shd w:val="clear" w:color="auto" w:fill="B4C6E7" w:themeFill="accent1" w:themeFillTint="66"/>
            <w:vAlign w:val="center"/>
            <w:hideMark/>
          </w:tcPr>
          <w:p w14:paraId="21970EC6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Dlaczego tak długo</w:t>
            </w:r>
          </w:p>
        </w:tc>
      </w:tr>
      <w:tr w:rsidR="00755E97" w14:paraId="1A468721" w14:textId="77777777" w:rsidTr="00B234E3">
        <w:trPr>
          <w:trHeight w:val="1489"/>
        </w:trPr>
        <w:tc>
          <w:tcPr>
            <w:tcW w:w="3479" w:type="dxa"/>
            <w:vAlign w:val="center"/>
            <w:hideMark/>
          </w:tcPr>
          <w:p w14:paraId="1B1AA1F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osobowe zawarte na protokole z postępowania o udzielenie zamówienia publicznego oraz w załącznikach do protokołu.</w:t>
            </w:r>
          </w:p>
        </w:tc>
        <w:tc>
          <w:tcPr>
            <w:tcW w:w="3478" w:type="dxa"/>
            <w:vAlign w:val="center"/>
            <w:hideMark/>
          </w:tcPr>
          <w:p w14:paraId="67C53210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W przypadku umów zawieranych na okres do 4 lat włącznie –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4 lata, licząc od dnia zakończenia postępowania o udzielenie zamówienia publicznego, a następnie zostaną usunięte.</w:t>
            </w:r>
          </w:p>
          <w:p w14:paraId="131E70C6" w14:textId="77777777" w:rsidR="00755E97" w:rsidRDefault="00755E97">
            <w:pPr>
              <w:spacing w:before="120" w:after="12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W przypadku umów zawieranych na okres dłuższy niż 4 lata –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dane osobowe będą przechowywane przez cały okres obowiązywania umowy w sprawie zamówienia publicznego, a następnie zostaną usunięte.</w:t>
            </w:r>
          </w:p>
        </w:tc>
        <w:tc>
          <w:tcPr>
            <w:tcW w:w="3479" w:type="dxa"/>
            <w:vAlign w:val="center"/>
            <w:hideMark/>
          </w:tcPr>
          <w:p w14:paraId="11D9110F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Przechowywanie danych jest obowiązkiem prawnym Zamawiającego.</w:t>
            </w:r>
          </w:p>
          <w:p w14:paraId="4F70179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wskazany w art.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78. Ustawy z dnia 11 września 2019 r. Prawo zamówień publicznych.</w:t>
            </w:r>
          </w:p>
        </w:tc>
      </w:tr>
      <w:tr w:rsidR="00755E97" w14:paraId="1BD8653F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1EBAAD18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osobowe zawarte w treści umowy na realizację zamówienia publicznego.</w:t>
            </w:r>
          </w:p>
        </w:tc>
        <w:tc>
          <w:tcPr>
            <w:tcW w:w="3478" w:type="dxa"/>
            <w:vAlign w:val="center"/>
            <w:hideMark/>
          </w:tcPr>
          <w:p w14:paraId="7A8F3CB8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3 lata, licząc od dnia w którym roszczenie stało się wymagalne.</w:t>
            </w:r>
          </w:p>
        </w:tc>
        <w:tc>
          <w:tcPr>
            <w:tcW w:w="3479" w:type="dxa"/>
            <w:vAlign w:val="center"/>
            <w:hideMark/>
          </w:tcPr>
          <w:p w14:paraId="6419583A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 jest niezbędne do ochrony uzasadnionych interesów prawnych Zamawiającego. Polegają one na zabezpieczeniu możliwości ustalenia i dochodzenia roszczeń oraz obrony przed roszczeniami, związanymi z niewykonaniem lub nieprawidłowym wykonaniem umowy.</w:t>
            </w:r>
          </w:p>
          <w:p w14:paraId="3B5A8CC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danych jest zgodny z okresem przedawnienia roszczeń. Okres przedawnienia roszczeń wynika z art. 118. Ustawy z dnia 23 kwietnia 1963 r. Kodeks cywilny.</w:t>
            </w:r>
          </w:p>
        </w:tc>
      </w:tr>
      <w:tr w:rsidR="00755E97" w14:paraId="27C73564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57B0F462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podatkowe</w:t>
            </w:r>
          </w:p>
        </w:tc>
        <w:tc>
          <w:tcPr>
            <w:tcW w:w="3478" w:type="dxa"/>
            <w:vAlign w:val="center"/>
            <w:hideMark/>
          </w:tcPr>
          <w:p w14:paraId="3A9C2CEB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 lat, licząc od końca roku kalendarzowego, w którym upłynął termin płatności podatku</w:t>
            </w:r>
          </w:p>
        </w:tc>
        <w:tc>
          <w:tcPr>
            <w:tcW w:w="3479" w:type="dxa"/>
            <w:vAlign w:val="center"/>
            <w:hideMark/>
          </w:tcPr>
          <w:p w14:paraId="1473FAA2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jest niezbędne do ochrony uzasadnionych interesów prawnych Zamawiającego. Polegają one na konieczności wykazania prawidłowej realizacji obowiązków podatkowych oraz obrony przed nieuzasadnionymi roszczeniami podatkowymi. </w:t>
            </w:r>
          </w:p>
          <w:p w14:paraId="4062C25D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Przechowywanie danych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następuje przez okres przedawnienia zobowiązań podatkowych. Termin przedawnienia wynika z </w:t>
            </w:r>
            <w:r>
              <w:rPr>
                <w:rFonts w:ascii="Century Gothic" w:hAnsi="Century Gothic"/>
                <w:sz w:val="16"/>
                <w:szCs w:val="16"/>
              </w:rPr>
              <w:t>art. 70. §1. Ustawy z dnia 29 sierpnia 1997 r. Ordynacja podatkowa.</w:t>
            </w:r>
          </w:p>
        </w:tc>
      </w:tr>
      <w:tr w:rsidR="00755E97" w14:paraId="615967E7" w14:textId="77777777" w:rsidTr="00B234E3">
        <w:trPr>
          <w:trHeight w:val="465"/>
        </w:trPr>
        <w:tc>
          <w:tcPr>
            <w:tcW w:w="3479" w:type="dxa"/>
            <w:vAlign w:val="center"/>
            <w:hideMark/>
          </w:tcPr>
          <w:p w14:paraId="2057FB5F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Dane finansowe, zawarte w dokumentach księgowych</w:t>
            </w:r>
          </w:p>
        </w:tc>
        <w:tc>
          <w:tcPr>
            <w:tcW w:w="3478" w:type="dxa"/>
            <w:vAlign w:val="center"/>
            <w:hideMark/>
          </w:tcPr>
          <w:p w14:paraId="6A532E45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5 lat, licząc od początku roku następującego po roku obrotowym, którego dane dotyczą.</w:t>
            </w:r>
          </w:p>
        </w:tc>
        <w:tc>
          <w:tcPr>
            <w:tcW w:w="3479" w:type="dxa"/>
            <w:vAlign w:val="center"/>
            <w:hideMark/>
          </w:tcPr>
          <w:p w14:paraId="14230734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Przechowywanie danych jest obowiązkiem prawnym Zamawiającego.</w:t>
            </w:r>
          </w:p>
          <w:p w14:paraId="1ED80C37" w14:textId="77777777" w:rsidR="00755E97" w:rsidRDefault="00755E97">
            <w:pPr>
              <w:spacing w:before="80" w:after="8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Okres przechowywania wskazany w art.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74. Ustawy z dnia 29 września 1994 r. o rachunkowości</w:t>
            </w:r>
          </w:p>
        </w:tc>
      </w:tr>
    </w:tbl>
    <w:p w14:paraId="3DF40586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69"/>
        <w:gridCol w:w="2826"/>
        <w:gridCol w:w="3527"/>
        <w:gridCol w:w="2434"/>
      </w:tblGrid>
      <w:tr w:rsidR="00755E97" w14:paraId="6DE09F31" w14:textId="77777777" w:rsidTr="00B234E3">
        <w:trPr>
          <w:tblHeader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5584C224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6118BE76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0D4F977A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14:paraId="4172D84B" w14:textId="77777777" w:rsidR="00755E97" w:rsidRDefault="00755E9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755E97" w14:paraId="27771576" w14:textId="77777777" w:rsidTr="00B234E3">
        <w:tc>
          <w:tcPr>
            <w:tcW w:w="0" w:type="auto"/>
            <w:hideMark/>
          </w:tcPr>
          <w:p w14:paraId="5D4814DC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hideMark/>
          </w:tcPr>
          <w:p w14:paraId="315511B7" w14:textId="6EC85B26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 tym czy Gmina </w:t>
            </w:r>
            <w:r w:rsidR="003705FC">
              <w:rPr>
                <w:rFonts w:ascii="Century Gothic" w:hAnsi="Century Gothic"/>
                <w:sz w:val="16"/>
                <w:szCs w:val="16"/>
              </w:rPr>
              <w:t>Świlcza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dysponuje danymi zainteresowanej osoby, jakie są to dane oraz jak są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wykorzystywane.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hideMark/>
          </w:tcPr>
          <w:p w14:paraId="2795727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Prawo dostępu do danych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ich udzielenie może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niekorzystnie wpłynąć na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prawa i wolności innych osób.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 przypadku, gdy realizacja prawa dostępu do danych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>wymagałaby niewspółmiernie dużego wysiłku, zamawiający może żądać od osoby, której dane dotyczą, wskazania dodatkowych informacji mających na celu sprecyzowanie żądania, w szczególności podania nazwy lub daty postępowania o udzielenie zamówienia publicznego lub konkursu.</w:t>
            </w:r>
          </w:p>
        </w:tc>
        <w:tc>
          <w:tcPr>
            <w:tcW w:w="0" w:type="auto"/>
            <w:hideMark/>
          </w:tcPr>
          <w:p w14:paraId="2B5643E3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755E97" w14:paraId="68276A5B" w14:textId="77777777" w:rsidTr="00B234E3">
        <w:tc>
          <w:tcPr>
            <w:tcW w:w="0" w:type="auto"/>
            <w:hideMark/>
          </w:tcPr>
          <w:p w14:paraId="1E7F19F9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hideMark/>
          </w:tcPr>
          <w:p w14:paraId="0D143196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hideMark/>
          </w:tcPr>
          <w:p w14:paraId="5ABF0FF2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  <w:p w14:paraId="6ED3A98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Skorzystanie z prawa do sprostowania lub uzupełnienia danych osobowych nie może skutkować zmianą wyniku postępowania o udzielenie zamówienia publicznego lub konkursu ani zmianą postanowień umowy w zakresie niezgodnym z ustawą Prawo zamówień publicznych.</w:t>
            </w:r>
          </w:p>
        </w:tc>
        <w:tc>
          <w:tcPr>
            <w:tcW w:w="0" w:type="auto"/>
            <w:hideMark/>
          </w:tcPr>
          <w:p w14:paraId="491C82F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65D99B4B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które informacje na swój temat uznajesz za błędne, nieaktualne lub niekompletne.</w:t>
            </w:r>
          </w:p>
        </w:tc>
      </w:tr>
      <w:tr w:rsidR="00755E97" w14:paraId="7000319D" w14:textId="77777777" w:rsidTr="00B234E3">
        <w:tc>
          <w:tcPr>
            <w:tcW w:w="0" w:type="auto"/>
            <w:hideMark/>
          </w:tcPr>
          <w:p w14:paraId="4B28044B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hideMark/>
          </w:tcPr>
          <w:p w14:paraId="593985E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hideMark/>
          </w:tcPr>
          <w:p w14:paraId="0ED34597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Przysługuje wyłącznie, gdy dane osobowe: </w:t>
            </w:r>
          </w:p>
          <w:p w14:paraId="5A2174B1" w14:textId="7ED708AE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1. nie są już potrzebne Gminie </w:t>
            </w:r>
            <w:r w:rsidR="003705FC">
              <w:rPr>
                <w:rFonts w:ascii="Century Gothic" w:hAnsi="Century Gothic"/>
                <w:sz w:val="16"/>
                <w:szCs w:val="16"/>
              </w:rPr>
              <w:t>Świlcza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albo </w:t>
            </w:r>
          </w:p>
          <w:p w14:paraId="5086850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2. są wykorzystywane niezgodnie z prawem albo </w:t>
            </w:r>
          </w:p>
          <w:p w14:paraId="53AAA932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w konkretnym przypadku istnieje prawny obowiązek usunięcia danych osobowych albo </w:t>
            </w:r>
          </w:p>
          <w:p w14:paraId="5529D7D4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 zainteresowana osoba wniosła sprzeciw wobec przetwarzania, który okazał się być słuszny.</w:t>
            </w:r>
          </w:p>
        </w:tc>
        <w:tc>
          <w:tcPr>
            <w:tcW w:w="0" w:type="auto"/>
            <w:hideMark/>
          </w:tcPr>
          <w:p w14:paraId="4149B2B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435AC484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zakres danych osobowych, które mają zostać usunięte – mogą to być poszczególne informacje albo wszystkie dane osobowe, zgromadzone w związku z udzieleniem zamówienia publicznego.</w:t>
            </w:r>
          </w:p>
          <w:p w14:paraId="0C31DD37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stanowisko. Pamiętaj: usunięcie danych osobowych może nastąpić wyłącznie po spełnieniu jednej z przesłanek opisanych obok – w przeciwnym razie wniosek zostanie odrzucony.</w:t>
            </w:r>
          </w:p>
        </w:tc>
      </w:tr>
      <w:tr w:rsidR="00755E97" w14:paraId="322B328C" w14:textId="77777777" w:rsidTr="00B234E3">
        <w:tc>
          <w:tcPr>
            <w:tcW w:w="0" w:type="auto"/>
            <w:hideMark/>
          </w:tcPr>
          <w:p w14:paraId="527C3B6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hideMark/>
          </w:tcPr>
          <w:p w14:paraId="030104A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hideMark/>
          </w:tcPr>
          <w:p w14:paraId="591BCFF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Przysługuje wyłącznie, gdy: </w:t>
            </w:r>
          </w:p>
          <w:p w14:paraId="1B05D5AE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1. zainteresowana osoba kwestionuje prawidłowość swoich danych albo </w:t>
            </w:r>
          </w:p>
          <w:p w14:paraId="49E33F5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dane zainteresowanej osoby są wykorzystywane niezgodnie z prawem lecz osoba ta sprzeciwia się usunięciu swoich danych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albo </w:t>
            </w:r>
          </w:p>
          <w:p w14:paraId="2E02B3BE" w14:textId="5753C46D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3. gdy dane zainteresowanej osoby nie są już potrzebne Gminie </w:t>
            </w:r>
            <w:r w:rsidR="003705FC">
              <w:rPr>
                <w:rFonts w:ascii="Century Gothic" w:hAnsi="Century Gothic"/>
                <w:sz w:val="16"/>
                <w:szCs w:val="16"/>
              </w:rPr>
              <w:t>Świlcza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lecz są one potrzebne zainteresowanej osobie do dochodzenia roszczeń lub obrony przed roszczeniami albo </w:t>
            </w:r>
          </w:p>
          <w:p w14:paraId="38B65B83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4. zainteresowana osoba wniosła sprzeciw wobec przetwarzania swoich danych osobowych – do czasu rozpatrzenia sprzeciwu.</w:t>
            </w:r>
          </w:p>
          <w:p w14:paraId="46E1821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Skorzystanie z prawa do ograniczenia przetwarzania nie ogranicza przetwarzania danych osobowych do czasu zakończenia postępowania o udzielenie zamówienia publicznego lub konkursu.</w:t>
            </w:r>
          </w:p>
        </w:tc>
        <w:tc>
          <w:tcPr>
            <w:tcW w:w="0" w:type="auto"/>
            <w:hideMark/>
          </w:tcPr>
          <w:p w14:paraId="54495DF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1DA78961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w jakim zakresie należy ograniczyć korzystanie z danych osobowych – możesz oznaczyć pojedyncze cele, dla realizacji których wykorzystywane są dane osobowe albo wszystkie.</w:t>
            </w:r>
          </w:p>
          <w:p w14:paraId="3F4E193E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stanowisko. Pamiętaj: ograniczenie przetwarzania danych osobowych może nastąpić wyłącznie po spełnieniu jednej z przesłanek opisanych obok – w przeciwnym razie wniosek zostanie odrzucony.</w:t>
            </w:r>
          </w:p>
        </w:tc>
      </w:tr>
      <w:tr w:rsidR="00755E97" w14:paraId="2672B39B" w14:textId="77777777" w:rsidTr="00B234E3">
        <w:tc>
          <w:tcPr>
            <w:tcW w:w="0" w:type="auto"/>
            <w:shd w:val="clear" w:color="auto" w:fill="F7CAAC" w:themeFill="accent2" w:themeFillTint="66"/>
            <w:hideMark/>
          </w:tcPr>
          <w:p w14:paraId="3E3EE23A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D799BD9" w14:textId="6FD6DE16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Prawo do żądania, by Gmina </w:t>
            </w:r>
            <w:r w:rsidR="003705FC">
              <w:rPr>
                <w:rFonts w:ascii="Century Gothic" w:hAnsi="Century Gothic"/>
                <w:sz w:val="16"/>
                <w:szCs w:val="16"/>
              </w:rPr>
              <w:t>Świlcza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zaprzestała wykorzystywania danych osoby składającej sprzeciw do celów związanych ze sprawowaniem władzy publicznej lub ochrony swoich uzasadnionych interesów prawnych, z uwagi na szczególną (wyjątkową) sytuację danej osoby.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0D5C7FF8" w14:textId="77777777" w:rsidR="00755E97" w:rsidRDefault="00755E97" w:rsidP="003705FC">
            <w:pPr>
              <w:spacing w:before="80" w:after="8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1. Sprzeciw uwzględnia się z uwagi na szczególną sytuację danej osoby.</w:t>
            </w:r>
          </w:p>
          <w:p w14:paraId="30A6000C" w14:textId="77777777" w:rsidR="00755E97" w:rsidRDefault="00755E97" w:rsidP="003705FC">
            <w:pPr>
              <w:spacing w:before="80" w:after="8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2. Skutecznie złożony sprzeciw skutkuje zaprzestaniem korzystania z danych osobowych w celu wskazanym w treści sprzeciwu.</w:t>
            </w:r>
          </w:p>
          <w:p w14:paraId="6B5C939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3. Sprzeciw złożony bezpodstawnie zostanie odrzucony.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Staranne uzasadnienie sprzeciwu może zwiększyć szansę na uznanie jego słuszności.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14:paraId="5997E44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 Złóż wniosek – dane kontaktowe znajdują się w punkcie 1. i 2.</w:t>
            </w:r>
          </w:p>
          <w:p w14:paraId="331D1D2F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 Wskaż dokładnie którym celom przetwarzania danych osobowych się sprzeciwiasz.</w:t>
            </w:r>
          </w:p>
          <w:p w14:paraId="7EF5600C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3. Uzasadnij swoje stanowisko, aby zwiększyć szanse na pozytywne rozpatrzenie sprzeciwu. Opisz na czym polega szczególny charakter sytuacji, w której się znajdujesz.</w:t>
            </w:r>
          </w:p>
        </w:tc>
      </w:tr>
      <w:tr w:rsidR="00755E97" w14:paraId="224CDEE5" w14:textId="77777777" w:rsidTr="00B234E3">
        <w:tc>
          <w:tcPr>
            <w:tcW w:w="0" w:type="auto"/>
            <w:hideMark/>
          </w:tcPr>
          <w:p w14:paraId="196115E8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hideMark/>
          </w:tcPr>
          <w:p w14:paraId="3C921B88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hideMark/>
          </w:tcPr>
          <w:p w14:paraId="4C36F75D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hideMark/>
          </w:tcPr>
          <w:p w14:paraId="73BC8525" w14:textId="77777777" w:rsidR="00755E97" w:rsidRDefault="00755E97" w:rsidP="003705FC">
            <w:pPr>
              <w:spacing w:before="80" w:after="8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Skontaktuj się z 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7A0FB3CE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Czy podanie danych jest konieczne:</w:t>
      </w:r>
      <w:r>
        <w:rPr>
          <w:rFonts w:ascii="Century Gothic" w:hAnsi="Century Gothic" w:cstheme="minorHAnsi"/>
          <w:sz w:val="16"/>
          <w:szCs w:val="16"/>
        </w:rPr>
        <w:t xml:space="preserve"> tak – to obowiązek prawny oraz warunek udzielenia zamówienia (zawarcia umowy).</w:t>
      </w:r>
    </w:p>
    <w:p w14:paraId="4771E404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Konsekwencje niepodania danych:</w:t>
      </w:r>
      <w:r>
        <w:rPr>
          <w:rFonts w:ascii="Century Gothic" w:hAnsi="Century Gothic"/>
          <w:sz w:val="16"/>
          <w:szCs w:val="16"/>
        </w:rPr>
        <w:t xml:space="preserve"> odrzucenie oferty, rezygnacja z zamiaru zawarcia umowy lub odstąpienie od zawartej umowy.</w:t>
      </w:r>
    </w:p>
    <w:p w14:paraId="774542CB" w14:textId="77777777" w:rsid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2A8E0E14" w14:textId="14E00E19" w:rsidR="00592CD7" w:rsidRPr="00755E97" w:rsidRDefault="00755E97" w:rsidP="00755E9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592CD7" w:rsidRPr="00755E97" w:rsidSect="00755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0B38D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B3"/>
    <w:rsid w:val="000C15B2"/>
    <w:rsid w:val="001E40A5"/>
    <w:rsid w:val="003705FC"/>
    <w:rsid w:val="00592CD7"/>
    <w:rsid w:val="006B09F3"/>
    <w:rsid w:val="00755E97"/>
    <w:rsid w:val="00790ED9"/>
    <w:rsid w:val="008B45E3"/>
    <w:rsid w:val="009F372A"/>
    <w:rsid w:val="00B0006B"/>
    <w:rsid w:val="00B0731E"/>
    <w:rsid w:val="00B234E3"/>
    <w:rsid w:val="00BE05B3"/>
    <w:rsid w:val="00CB3F9A"/>
    <w:rsid w:val="00F31B7E"/>
    <w:rsid w:val="00F5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3C1A"/>
  <w15:chartTrackingRefBased/>
  <w15:docId w15:val="{4E6ECA7D-A0E5-4BCA-8C5C-261CC75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Zacznik">
    <w:name w:val="(R) Załącznik"/>
    <w:basedOn w:val="Normalny"/>
    <w:link w:val="RZacznikZnak"/>
    <w:qFormat/>
    <w:rsid w:val="00F31B7E"/>
    <w:pPr>
      <w:spacing w:after="24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cznikZnak">
    <w:name w:val="(R) Załącznik Znak"/>
    <w:basedOn w:val="Domylnaczcionkaakapitu"/>
    <w:link w:val="RZacznik"/>
    <w:rsid w:val="00F31B7E"/>
    <w:rPr>
      <w:rFonts w:ascii="Century Gothic" w:hAnsi="Century Gothic"/>
      <w:i/>
      <w:iCs/>
      <w:sz w:val="16"/>
      <w:szCs w:val="16"/>
    </w:rPr>
  </w:style>
  <w:style w:type="paragraph" w:customStyle="1" w:styleId="RZaacznik">
    <w:name w:val="(R) Załacznik"/>
    <w:basedOn w:val="Normalny"/>
    <w:link w:val="RZaacznikZnak"/>
    <w:qFormat/>
    <w:rsid w:val="00CB3F9A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">
    <w:name w:val="(R) Załacznik Znak"/>
    <w:basedOn w:val="Domylnaczcionkaakapitu"/>
    <w:link w:val="RZaacznik"/>
    <w:rsid w:val="00CB3F9A"/>
    <w:rPr>
      <w:rFonts w:ascii="Century Gothic" w:hAnsi="Century Gothic"/>
      <w:i/>
      <w:iCs/>
      <w:sz w:val="16"/>
      <w:szCs w:val="16"/>
    </w:rPr>
  </w:style>
  <w:style w:type="paragraph" w:customStyle="1" w:styleId="ZTabela">
    <w:name w:val="(Z) Tabela"/>
    <w:basedOn w:val="Normalny"/>
    <w:link w:val="ZTabelaZnak"/>
    <w:qFormat/>
    <w:rsid w:val="00CB3F9A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Znak">
    <w:name w:val="(Z) Tabela Znak"/>
    <w:basedOn w:val="Domylnaczcionkaakapitu"/>
    <w:link w:val="ZTabela"/>
    <w:rsid w:val="00CB3F9A"/>
    <w:rPr>
      <w:rFonts w:ascii="Century Gothic" w:hAnsi="Century Gothic"/>
      <w:b/>
      <w:bCs/>
      <w:sz w:val="16"/>
      <w:szCs w:val="16"/>
    </w:rPr>
  </w:style>
  <w:style w:type="paragraph" w:customStyle="1" w:styleId="ZTabelaTekst">
    <w:name w:val="(Z) Tabela | Tekst"/>
    <w:basedOn w:val="Normalny"/>
    <w:link w:val="ZTabelaTekstZnak"/>
    <w:qFormat/>
    <w:rsid w:val="008B45E3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8B45E3"/>
    <w:rPr>
      <w:rFonts w:ascii="Century Gothic" w:hAnsi="Century Gothic"/>
      <w:sz w:val="16"/>
      <w:szCs w:val="16"/>
    </w:rPr>
  </w:style>
  <w:style w:type="paragraph" w:customStyle="1" w:styleId="ZTabelaNagwki">
    <w:name w:val="(Z) Tabela | Nagłówki"/>
    <w:basedOn w:val="Normalny"/>
    <w:link w:val="ZTabelaNagwkiZnak"/>
    <w:qFormat/>
    <w:rsid w:val="008B45E3"/>
    <w:pPr>
      <w:spacing w:before="80" w:after="80" w:line="240" w:lineRule="auto"/>
      <w:jc w:val="center"/>
    </w:pPr>
    <w:rPr>
      <w:rFonts w:ascii="Century Gothic" w:hAnsi="Century Gothic"/>
      <w:b/>
      <w:bCs/>
      <w:sz w:val="16"/>
      <w:szCs w:val="16"/>
    </w:rPr>
  </w:style>
  <w:style w:type="character" w:customStyle="1" w:styleId="ZTabelaNagwkiZnak">
    <w:name w:val="(Z) Tabela | Nagłówki Znak"/>
    <w:basedOn w:val="Domylnaczcionkaakapitu"/>
    <w:link w:val="ZTabelaNagwki"/>
    <w:rsid w:val="008B45E3"/>
    <w:rPr>
      <w:rFonts w:ascii="Century Gothic" w:hAnsi="Century Gothic"/>
      <w:b/>
      <w:bCs/>
      <w:sz w:val="16"/>
      <w:szCs w:val="16"/>
    </w:rPr>
  </w:style>
  <w:style w:type="paragraph" w:customStyle="1" w:styleId="RZaacznik0">
    <w:name w:val="R | Załacznik"/>
    <w:basedOn w:val="Normalny"/>
    <w:link w:val="RZaacznikZnak0"/>
    <w:qFormat/>
    <w:rsid w:val="00F54EA7"/>
    <w:pPr>
      <w:spacing w:after="80" w:line="240" w:lineRule="auto"/>
      <w:jc w:val="right"/>
    </w:pPr>
    <w:rPr>
      <w:rFonts w:ascii="Century Gothic" w:hAnsi="Century Gothic"/>
      <w:i/>
      <w:iCs/>
      <w:sz w:val="16"/>
      <w:szCs w:val="16"/>
    </w:rPr>
  </w:style>
  <w:style w:type="character" w:customStyle="1" w:styleId="RZaacznikZnak0">
    <w:name w:val="R | Załacznik Znak"/>
    <w:basedOn w:val="Domylnaczcionkaakapitu"/>
    <w:link w:val="RZaacznik0"/>
    <w:rsid w:val="00F54EA7"/>
    <w:rPr>
      <w:rFonts w:ascii="Century Gothic" w:hAnsi="Century Gothic"/>
      <w:i/>
      <w:iCs/>
      <w:sz w:val="16"/>
      <w:szCs w:val="16"/>
    </w:rPr>
  </w:style>
  <w:style w:type="paragraph" w:customStyle="1" w:styleId="ROddzia">
    <w:name w:val="R | Oddział"/>
    <w:basedOn w:val="RArtykuParagraf"/>
    <w:link w:val="ROddziaZnak"/>
    <w:qFormat/>
    <w:rsid w:val="00790ED9"/>
  </w:style>
  <w:style w:type="character" w:customStyle="1" w:styleId="ROddziaZnak">
    <w:name w:val="R | Oddział Znak"/>
    <w:basedOn w:val="RArtykuParagrafZnak"/>
    <w:link w:val="ROddzia"/>
    <w:rsid w:val="00790ED9"/>
    <w:rPr>
      <w:rFonts w:ascii="Century Gothic" w:hAnsi="Century Gothic"/>
      <w:b/>
      <w:sz w:val="16"/>
      <w:szCs w:val="16"/>
    </w:rPr>
  </w:style>
  <w:style w:type="paragraph" w:customStyle="1" w:styleId="RArtykuParagraf">
    <w:name w:val="R | Artykuł | Paragraf"/>
    <w:basedOn w:val="Normalny"/>
    <w:link w:val="RArtykuParagrafZnak"/>
    <w:qFormat/>
    <w:rsid w:val="00790ED9"/>
    <w:pPr>
      <w:spacing w:before="240" w:after="80" w:line="240" w:lineRule="auto"/>
      <w:jc w:val="center"/>
      <w:outlineLvl w:val="2"/>
    </w:pPr>
    <w:rPr>
      <w:rFonts w:ascii="Century Gothic" w:hAnsi="Century Gothic"/>
      <w:b/>
      <w:sz w:val="16"/>
      <w:szCs w:val="16"/>
    </w:rPr>
  </w:style>
  <w:style w:type="character" w:customStyle="1" w:styleId="RArtykuParagrafZnak">
    <w:name w:val="R | Artykuł | Paragraf Znak"/>
    <w:basedOn w:val="Domylnaczcionkaakapitu"/>
    <w:link w:val="RArtykuParagraf"/>
    <w:rsid w:val="00790ED9"/>
    <w:rPr>
      <w:rFonts w:ascii="Century Gothic" w:hAnsi="Century Gothic"/>
      <w:b/>
      <w:sz w:val="16"/>
      <w:szCs w:val="16"/>
    </w:rPr>
  </w:style>
  <w:style w:type="paragraph" w:customStyle="1" w:styleId="RDzia">
    <w:name w:val="R | Dział"/>
    <w:basedOn w:val="Normalny"/>
    <w:link w:val="RDziaZnak"/>
    <w:qFormat/>
    <w:rsid w:val="00790ED9"/>
    <w:pPr>
      <w:spacing w:before="240"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DziaZnak">
    <w:name w:val="R | Dział Znak"/>
    <w:basedOn w:val="Domylnaczcionkaakapitu"/>
    <w:link w:val="RDzia"/>
    <w:rsid w:val="00790ED9"/>
    <w:rPr>
      <w:rFonts w:ascii="Century Gothic" w:hAnsi="Century Gothic"/>
      <w:b/>
      <w:sz w:val="28"/>
      <w:szCs w:val="28"/>
    </w:rPr>
  </w:style>
  <w:style w:type="paragraph" w:customStyle="1" w:styleId="RPodpytuUchwaa">
    <w:name w:val="R | Podpytuł | Uchwała"/>
    <w:basedOn w:val="Normalny"/>
    <w:link w:val="RPodpytuUchwaa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pytuUchwaaZnak">
    <w:name w:val="R | Podpytuł | Uchwała Znak"/>
    <w:basedOn w:val="Domylnaczcionkaakapitu"/>
    <w:link w:val="RPodpytuUchwaa"/>
    <w:rsid w:val="00790ED9"/>
    <w:rPr>
      <w:rFonts w:ascii="Century Gothic" w:hAnsi="Century Gothic"/>
      <w:b/>
      <w:sz w:val="20"/>
      <w:szCs w:val="16"/>
    </w:rPr>
  </w:style>
  <w:style w:type="paragraph" w:customStyle="1" w:styleId="RRozdzia">
    <w:name w:val="R | Rozdział"/>
    <w:basedOn w:val="RArtykuParagraf"/>
    <w:link w:val="RRozdziaZnak"/>
    <w:qFormat/>
    <w:rsid w:val="00790ED9"/>
    <w:pPr>
      <w:spacing w:after="240"/>
      <w:outlineLvl w:val="1"/>
    </w:pPr>
    <w:rPr>
      <w:sz w:val="20"/>
    </w:rPr>
  </w:style>
  <w:style w:type="character" w:customStyle="1" w:styleId="RRozdziaZnak">
    <w:name w:val="R | Rozdział Znak"/>
    <w:basedOn w:val="RArtykuParagrafZnak"/>
    <w:link w:val="RRozdzia"/>
    <w:rsid w:val="00790ED9"/>
    <w:rPr>
      <w:rFonts w:ascii="Century Gothic" w:hAnsi="Century Gothic"/>
      <w:b/>
      <w:sz w:val="20"/>
      <w:szCs w:val="16"/>
    </w:rPr>
  </w:style>
  <w:style w:type="paragraph" w:customStyle="1" w:styleId="RTekst">
    <w:name w:val="R | Tekst"/>
    <w:basedOn w:val="Normalny"/>
    <w:link w:val="RTekstZnak"/>
    <w:qFormat/>
    <w:rsid w:val="00790ED9"/>
    <w:pPr>
      <w:spacing w:after="80" w:line="240" w:lineRule="auto"/>
      <w:jc w:val="both"/>
    </w:pPr>
    <w:rPr>
      <w:rFonts w:ascii="Century Gothic" w:hAnsi="Century Gothic"/>
      <w:sz w:val="16"/>
      <w:szCs w:val="16"/>
    </w:rPr>
  </w:style>
  <w:style w:type="character" w:customStyle="1" w:styleId="RTekstZnak">
    <w:name w:val="R | Tekst Znak"/>
    <w:basedOn w:val="Domylnaczcionkaakapitu"/>
    <w:link w:val="RTekst"/>
    <w:rsid w:val="00790ED9"/>
    <w:rPr>
      <w:rFonts w:ascii="Century Gothic" w:hAnsi="Century Gothic"/>
      <w:sz w:val="16"/>
      <w:szCs w:val="16"/>
    </w:rPr>
  </w:style>
  <w:style w:type="paragraph" w:customStyle="1" w:styleId="RTytu">
    <w:name w:val="R | Tytuł"/>
    <w:basedOn w:val="Normalny"/>
    <w:link w:val="RTytuZnak"/>
    <w:qFormat/>
    <w:rsid w:val="00790ED9"/>
    <w:pPr>
      <w:spacing w:after="240" w:line="240" w:lineRule="auto"/>
      <w:jc w:val="center"/>
      <w:outlineLvl w:val="0"/>
    </w:pPr>
    <w:rPr>
      <w:rFonts w:ascii="Century Gothic" w:hAnsi="Century Gothic"/>
      <w:b/>
      <w:sz w:val="28"/>
      <w:szCs w:val="28"/>
    </w:rPr>
  </w:style>
  <w:style w:type="character" w:customStyle="1" w:styleId="RTytuZnak">
    <w:name w:val="R | Tytuł Znak"/>
    <w:basedOn w:val="Domylnaczcionkaakapitu"/>
    <w:link w:val="RTytu"/>
    <w:rsid w:val="00790ED9"/>
    <w:rPr>
      <w:rFonts w:ascii="Century Gothic" w:hAnsi="Century Gothic"/>
      <w:b/>
      <w:sz w:val="28"/>
      <w:szCs w:val="28"/>
    </w:rPr>
  </w:style>
  <w:style w:type="paragraph" w:customStyle="1" w:styleId="RZacznik0">
    <w:name w:val="R | Załącznik"/>
    <w:basedOn w:val="RTekst"/>
    <w:link w:val="RZacznikZnak0"/>
    <w:qFormat/>
    <w:rsid w:val="00790ED9"/>
    <w:pPr>
      <w:spacing w:after="240"/>
      <w:jc w:val="right"/>
    </w:pPr>
    <w:rPr>
      <w:i/>
      <w:iCs/>
    </w:rPr>
  </w:style>
  <w:style w:type="character" w:customStyle="1" w:styleId="RZacznikZnak0">
    <w:name w:val="R | Załącznik Znak"/>
    <w:basedOn w:val="RTekstZnak"/>
    <w:link w:val="RZacznik0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TNagwki">
    <w:name w:val="T | Nagłówki"/>
    <w:basedOn w:val="RTekst"/>
    <w:link w:val="TNagwkiZnak"/>
    <w:qFormat/>
    <w:rsid w:val="00790ED9"/>
    <w:pPr>
      <w:spacing w:before="80"/>
      <w:jc w:val="center"/>
    </w:pPr>
    <w:rPr>
      <w:b/>
      <w:bCs/>
    </w:rPr>
  </w:style>
  <w:style w:type="character" w:customStyle="1" w:styleId="TNagwkiZnak">
    <w:name w:val="T | Nagłówki Znak"/>
    <w:basedOn w:val="RTekstZnak"/>
    <w:link w:val="TNagwki"/>
    <w:rsid w:val="00790ED9"/>
    <w:rPr>
      <w:rFonts w:ascii="Century Gothic" w:hAnsi="Century Gothic"/>
      <w:b/>
      <w:bCs/>
      <w:sz w:val="16"/>
      <w:szCs w:val="16"/>
    </w:rPr>
  </w:style>
  <w:style w:type="paragraph" w:customStyle="1" w:styleId="TTekst">
    <w:name w:val="T | Tekst"/>
    <w:basedOn w:val="RTekst"/>
    <w:link w:val="TTekstZnak"/>
    <w:qFormat/>
    <w:rsid w:val="00790ED9"/>
    <w:pPr>
      <w:spacing w:before="80"/>
      <w:jc w:val="center"/>
    </w:pPr>
  </w:style>
  <w:style w:type="character" w:customStyle="1" w:styleId="TTekstZnak">
    <w:name w:val="T | Tekst Znak"/>
    <w:basedOn w:val="RTekstZnak"/>
    <w:link w:val="TTekst"/>
    <w:rsid w:val="00790ED9"/>
    <w:rPr>
      <w:rFonts w:ascii="Century Gothic" w:hAnsi="Century Gothic"/>
      <w:sz w:val="16"/>
      <w:szCs w:val="16"/>
    </w:rPr>
  </w:style>
  <w:style w:type="paragraph" w:customStyle="1" w:styleId="ZArtykuParagraf">
    <w:name w:val="Z | Artykuł | Paragraf"/>
    <w:basedOn w:val="RArtykuParagraf"/>
    <w:link w:val="ZArtykuParagrafZnak"/>
    <w:qFormat/>
    <w:rsid w:val="00790ED9"/>
    <w:pPr>
      <w:outlineLvl w:val="9"/>
    </w:pPr>
  </w:style>
  <w:style w:type="character" w:customStyle="1" w:styleId="ZArtykuParagrafZnak">
    <w:name w:val="Z | Artykuł | Paragraf Znak"/>
    <w:basedOn w:val="RArtykuParagrafZnak"/>
    <w:link w:val="ZArtykuParagraf"/>
    <w:rsid w:val="00790ED9"/>
    <w:rPr>
      <w:rFonts w:ascii="Century Gothic" w:hAnsi="Century Gothic"/>
      <w:b/>
      <w:sz w:val="16"/>
      <w:szCs w:val="16"/>
    </w:rPr>
  </w:style>
  <w:style w:type="paragraph" w:customStyle="1" w:styleId="ZZacznik">
    <w:name w:val="Z | Załącznik"/>
    <w:basedOn w:val="RTekst"/>
    <w:link w:val="ZZacznikZnak"/>
    <w:qFormat/>
    <w:rsid w:val="00790ED9"/>
    <w:pPr>
      <w:spacing w:after="240"/>
      <w:jc w:val="right"/>
      <w:outlineLvl w:val="1"/>
    </w:pPr>
    <w:rPr>
      <w:i/>
      <w:iCs/>
    </w:rPr>
  </w:style>
  <w:style w:type="character" w:customStyle="1" w:styleId="ZZacznikZnak">
    <w:name w:val="Z | Załącznik Znak"/>
    <w:basedOn w:val="RTekstZnak"/>
    <w:link w:val="ZZacznik"/>
    <w:rsid w:val="00790ED9"/>
    <w:rPr>
      <w:rFonts w:ascii="Century Gothic" w:hAnsi="Century Gothic"/>
      <w:i/>
      <w:iCs/>
      <w:sz w:val="16"/>
      <w:szCs w:val="16"/>
    </w:rPr>
  </w:style>
  <w:style w:type="paragraph" w:customStyle="1" w:styleId="ZOddzia">
    <w:name w:val="Z | Oddział"/>
    <w:basedOn w:val="ZArtykuParagraf"/>
    <w:link w:val="ZOddziaZnak"/>
    <w:qFormat/>
    <w:rsid w:val="00790ED9"/>
  </w:style>
  <w:style w:type="character" w:customStyle="1" w:styleId="ZOddziaZnak">
    <w:name w:val="Z | Oddział Znak"/>
    <w:basedOn w:val="ZArtykuParagrafZnak"/>
    <w:link w:val="ZOddzia"/>
    <w:rsid w:val="00790ED9"/>
    <w:rPr>
      <w:rFonts w:ascii="Century Gothic" w:hAnsi="Century Gothic"/>
      <w:b/>
      <w:sz w:val="16"/>
      <w:szCs w:val="16"/>
    </w:rPr>
  </w:style>
  <w:style w:type="paragraph" w:customStyle="1" w:styleId="ZTytu">
    <w:name w:val="Z | Tytuł"/>
    <w:basedOn w:val="RTytu"/>
    <w:link w:val="ZTytuZnak"/>
    <w:qFormat/>
    <w:rsid w:val="00790ED9"/>
    <w:pPr>
      <w:outlineLvl w:val="9"/>
    </w:pPr>
  </w:style>
  <w:style w:type="character" w:customStyle="1" w:styleId="ZTytuZnak">
    <w:name w:val="Z | Tytuł Znak"/>
    <w:basedOn w:val="RTytuZnak"/>
    <w:link w:val="ZTytu"/>
    <w:rsid w:val="00790ED9"/>
    <w:rPr>
      <w:rFonts w:ascii="Century Gothic" w:hAnsi="Century Gothic"/>
      <w:b/>
      <w:sz w:val="28"/>
      <w:szCs w:val="28"/>
    </w:rPr>
  </w:style>
  <w:style w:type="paragraph" w:customStyle="1" w:styleId="ZPodtytu">
    <w:name w:val="Z | Podtytuł"/>
    <w:basedOn w:val="RPodpytuUchwaa"/>
    <w:link w:val="ZPodtytuZnak"/>
    <w:qFormat/>
    <w:rsid w:val="00790ED9"/>
  </w:style>
  <w:style w:type="character" w:customStyle="1" w:styleId="ZPodtytuZnak">
    <w:name w:val="Z | Podtytuł Znak"/>
    <w:basedOn w:val="RPodpytuUchwaaZnak"/>
    <w:link w:val="ZPodtytu"/>
    <w:rsid w:val="00790ED9"/>
    <w:rPr>
      <w:rFonts w:ascii="Century Gothic" w:hAnsi="Century Gothic"/>
      <w:b/>
      <w:sz w:val="20"/>
      <w:szCs w:val="16"/>
    </w:rPr>
  </w:style>
  <w:style w:type="paragraph" w:customStyle="1" w:styleId="RPodtytu">
    <w:name w:val="R | Podtytuł"/>
    <w:basedOn w:val="Normalny"/>
    <w:link w:val="RPodtytuZnak"/>
    <w:qFormat/>
    <w:rsid w:val="00790ED9"/>
    <w:pPr>
      <w:spacing w:before="240" w:after="240" w:line="240" w:lineRule="auto"/>
      <w:jc w:val="center"/>
    </w:pPr>
    <w:rPr>
      <w:rFonts w:ascii="Century Gothic" w:hAnsi="Century Gothic"/>
      <w:b/>
      <w:sz w:val="20"/>
      <w:szCs w:val="16"/>
    </w:rPr>
  </w:style>
  <w:style w:type="character" w:customStyle="1" w:styleId="RPodtytuZnak">
    <w:name w:val="R | Podtytuł Znak"/>
    <w:basedOn w:val="Domylnaczcionkaakapitu"/>
    <w:link w:val="RPodtytu"/>
    <w:rsid w:val="00790ED9"/>
    <w:rPr>
      <w:rFonts w:ascii="Century Gothic" w:hAnsi="Century Gothic"/>
      <w:b/>
      <w:sz w:val="20"/>
      <w:szCs w:val="16"/>
    </w:rPr>
  </w:style>
  <w:style w:type="paragraph" w:customStyle="1" w:styleId="RPrzypisy">
    <w:name w:val="R | Przypisy"/>
    <w:basedOn w:val="RTekst"/>
    <w:link w:val="RPrzypisyZnak"/>
    <w:qFormat/>
    <w:rsid w:val="000C15B2"/>
    <w:pPr>
      <w:spacing w:after="0"/>
    </w:pPr>
    <w:rPr>
      <w:rFonts w:eastAsiaTheme="minorEastAsia"/>
      <w:lang w:eastAsia="pl-PL"/>
    </w:rPr>
  </w:style>
  <w:style w:type="character" w:customStyle="1" w:styleId="RPrzypisyZnak">
    <w:name w:val="R | Przypisy Znak"/>
    <w:basedOn w:val="RTekstZnak"/>
    <w:link w:val="RPrzypisy"/>
    <w:rsid w:val="000C15B2"/>
    <w:rPr>
      <w:rFonts w:ascii="Century Gothic" w:eastAsiaTheme="minorEastAsia" w:hAnsi="Century Gothic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755E9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55E9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TekstZnak0">
    <w:name w:val="(R) Tekst Znak"/>
    <w:basedOn w:val="Domylnaczcionkaakapitu"/>
    <w:link w:val="RTekst0"/>
    <w:locked/>
    <w:rsid w:val="00755E97"/>
    <w:rPr>
      <w:rFonts w:ascii="Century Gothic" w:hAnsi="Century Gothic"/>
      <w:sz w:val="16"/>
      <w:szCs w:val="16"/>
    </w:rPr>
  </w:style>
  <w:style w:type="paragraph" w:customStyle="1" w:styleId="RTekst0">
    <w:name w:val="(R) Tekst"/>
    <w:basedOn w:val="Normalny"/>
    <w:link w:val="RTekstZnak0"/>
    <w:qFormat/>
    <w:rsid w:val="00755E97"/>
    <w:pPr>
      <w:spacing w:after="80" w:line="256" w:lineRule="auto"/>
      <w:jc w:val="both"/>
    </w:pPr>
    <w:rPr>
      <w:rFonts w:ascii="Century Gothic" w:hAnsi="Century Gothic"/>
      <w:sz w:val="16"/>
      <w:szCs w:val="16"/>
    </w:rPr>
  </w:style>
  <w:style w:type="table" w:styleId="Tabela-Siatka">
    <w:name w:val="Table Grid"/>
    <w:basedOn w:val="Standardowy"/>
    <w:uiPriority w:val="39"/>
    <w:rsid w:val="00755E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Ewa Dziedzic</cp:lastModifiedBy>
  <cp:revision>2</cp:revision>
  <dcterms:created xsi:type="dcterms:W3CDTF">2021-01-21T08:57:00Z</dcterms:created>
  <dcterms:modified xsi:type="dcterms:W3CDTF">2021-01-21T08:57:00Z</dcterms:modified>
</cp:coreProperties>
</file>