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5A" w:rsidRDefault="00FB515A" w:rsidP="00FB515A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FB515A" w:rsidRPr="00BD5227" w:rsidRDefault="00FB515A" w:rsidP="00FB515A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FB515A" w:rsidRDefault="00FB515A" w:rsidP="00FB515A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512BFF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 w:val="restart"/>
            <w:vAlign w:val="center"/>
          </w:tcPr>
          <w:p w:rsidR="00087B80" w:rsidRPr="0097596B" w:rsidRDefault="006E335B" w:rsidP="00A41E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A41E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12BFF">
              <w:rPr>
                <w:rFonts w:cstheme="minorHAnsi"/>
              </w:rPr>
              <w:t>-2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12BFF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A41E0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12BFF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filtra z elementami do żywienia pozajelitowego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A41E0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12BFF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Szczelność po połączeniu z elementami do żywienia pozajelitowego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7B80" w:rsidRPr="0097596B" w:rsidRDefault="00A41E04" w:rsidP="00A41E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72" w:type="dxa"/>
            <w:vAlign w:val="center"/>
          </w:tcPr>
          <w:p w:rsidR="00087B80" w:rsidRPr="0097596B" w:rsidRDefault="00512BFF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A41E0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A41E04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zacisków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A41E0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A41E04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5644B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7B80" w:rsidRPr="0097596B" w:rsidRDefault="00087B80" w:rsidP="0055644B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5072" w:type="dxa"/>
            <w:vAlign w:val="center"/>
          </w:tcPr>
          <w:p w:rsidR="00087B80" w:rsidRPr="0097596B" w:rsidRDefault="00512BFF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A41E0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203826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A41E0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8E438B" w:rsidP="0020382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Łatwość </w:t>
            </w:r>
            <w:r w:rsidR="00203826">
              <w:rPr>
                <w:rFonts w:cstheme="minorHAnsi"/>
              </w:rPr>
              <w:t>połączenia z zaworem bezigłowym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A41E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644B" w:rsidP="0055644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512BF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644B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po połączeniu ze strzykawką do karmienia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512BF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644B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5644B">
        <w:trPr>
          <w:trHeight w:val="525"/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087B80" w:rsidRPr="0097596B" w:rsidRDefault="00087B80" w:rsidP="0055644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644B" w:rsidP="0055644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trHeight w:val="263"/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512BF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108C8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Szczelność po połączeniu ze strzykawką i cewnikiem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512BF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108C8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5356A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5644B">
              <w:rPr>
                <w:rFonts w:cstheme="minorHAnsi"/>
              </w:rPr>
              <w:t>-9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644B" w:rsidP="0055644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644B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strzykawki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trHeight w:val="644"/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644B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Czytelna podziałka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356AE">
        <w:trPr>
          <w:trHeight w:val="525"/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5356A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55644B">
              <w:rPr>
                <w:rFonts w:cstheme="minorHAnsi"/>
              </w:rPr>
              <w:t>-11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644B" w:rsidP="0055644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512BF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108C8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zacisków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087B80" w:rsidRPr="0097596B" w:rsidTr="00512BFF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7B80" w:rsidRPr="0097596B" w:rsidRDefault="00087B80" w:rsidP="00512BF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108C8" w:rsidP="00512B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512BFF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2BC9"/>
    <w:rsid w:val="001108C8"/>
    <w:rsid w:val="001B2EBE"/>
    <w:rsid w:val="00203826"/>
    <w:rsid w:val="003E5E45"/>
    <w:rsid w:val="00512BFF"/>
    <w:rsid w:val="005356AE"/>
    <w:rsid w:val="0055644B"/>
    <w:rsid w:val="005F5422"/>
    <w:rsid w:val="006E335B"/>
    <w:rsid w:val="008312D7"/>
    <w:rsid w:val="008E438B"/>
    <w:rsid w:val="00A41E04"/>
    <w:rsid w:val="00CA2ECE"/>
    <w:rsid w:val="00DD2C32"/>
    <w:rsid w:val="00E60228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1E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1E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1B35-515C-4C2A-AAB7-4F55B23E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7</cp:revision>
  <cp:lastPrinted>2023-07-14T05:56:00Z</cp:lastPrinted>
  <dcterms:created xsi:type="dcterms:W3CDTF">2023-07-11T10:07:00Z</dcterms:created>
  <dcterms:modified xsi:type="dcterms:W3CDTF">2023-08-03T11:34:00Z</dcterms:modified>
</cp:coreProperties>
</file>