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81B39C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D170B">
        <w:rPr>
          <w:lang w:eastAsia="ar-SA"/>
        </w:rPr>
        <w:t>4</w:t>
      </w:r>
    </w:p>
    <w:p w14:paraId="4F3BC905" w14:textId="41FDDF45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F6BAF">
        <w:rPr>
          <w:sz w:val="24"/>
          <w:szCs w:val="24"/>
          <w:lang w:eastAsia="pl-PL"/>
        </w:rPr>
        <w:t>19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A111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36B35A1" w14:textId="77777777" w:rsidR="007F6BAF" w:rsidRPr="007F6BAF" w:rsidRDefault="007F6BAF" w:rsidP="007F6B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7F6BAF">
        <w:rPr>
          <w:rFonts w:eastAsia="Times New Roman"/>
          <w:b/>
          <w:bCs/>
          <w:sz w:val="24"/>
          <w:szCs w:val="24"/>
          <w:lang w:eastAsia="pl-PL" w:bidi="pl-PL"/>
        </w:rPr>
        <w:t>Rozbiórka budynku gospodarczego wraz z antresolą przy Urzędzie Stanu Cywilnego w Świętochłowicach oraz budowa nowej kotłowni</w:t>
      </w:r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F6BAF">
        <w:rPr>
          <w:b/>
          <w:bCs/>
          <w:sz w:val="24"/>
          <w:szCs w:val="24"/>
          <w:lang w:eastAsia="pl-PL"/>
        </w:rPr>
      </w:r>
      <w:r w:rsidR="007F6BA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F6BAF">
        <w:rPr>
          <w:b/>
          <w:bCs/>
          <w:sz w:val="24"/>
          <w:szCs w:val="24"/>
          <w:lang w:eastAsia="pl-PL"/>
        </w:rPr>
      </w:r>
      <w:r w:rsidR="007F6BA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F6BAF">
        <w:rPr>
          <w:b/>
          <w:bCs/>
          <w:sz w:val="24"/>
          <w:szCs w:val="24"/>
          <w:lang w:eastAsia="pl-PL"/>
        </w:rPr>
      </w:r>
      <w:r w:rsidR="007F6BA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F6BAF">
        <w:rPr>
          <w:b/>
          <w:bCs/>
          <w:sz w:val="24"/>
          <w:szCs w:val="24"/>
          <w:lang w:eastAsia="pl-PL"/>
        </w:rPr>
      </w:r>
      <w:r w:rsidR="007F6BA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D170B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7F6BA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2E24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62</cp:revision>
  <cp:lastPrinted>2022-04-14T07:37:00Z</cp:lastPrinted>
  <dcterms:created xsi:type="dcterms:W3CDTF">2016-08-31T13:49:00Z</dcterms:created>
  <dcterms:modified xsi:type="dcterms:W3CDTF">2024-08-27T11:08:00Z</dcterms:modified>
</cp:coreProperties>
</file>