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B80F3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</w:pPr>
      <w:proofErr w:type="spellStart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Dz.U</w:t>
      </w:r>
      <w:proofErr w:type="spellEnd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. UE S </w:t>
      </w:r>
      <w:r w:rsidRPr="00254A67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>numer</w:t>
      </w:r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</w:t>
      </w:r>
      <w:r w:rsidR="0055231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69</w:t>
      </w:r>
      <w:r w:rsidR="00E05D54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,</w:t>
      </w:r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data </w:t>
      </w:r>
      <w:r w:rsidR="0055231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07.04.2020</w:t>
      </w:r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r., </w:t>
      </w:r>
    </w:p>
    <w:p w:rsidR="00464F72" w:rsidRPr="00B80F3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</w:pPr>
      <w:r w:rsidRPr="00B80F3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Numer ogłoszenia w </w:t>
      </w:r>
      <w:proofErr w:type="spellStart"/>
      <w:r w:rsidR="005427C2" w:rsidRPr="005427C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>Dz.U</w:t>
      </w:r>
      <w:proofErr w:type="spellEnd"/>
      <w:r w:rsidR="005427C2" w:rsidRPr="005427C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. </w:t>
      </w:r>
      <w:r w:rsidR="00552311" w:rsidRPr="00552311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>2020/S 069-165433</w:t>
      </w:r>
      <w:r w:rsidR="00E05D54"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34DD0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8875E7" w:rsidP="008875E7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Polregio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sp. z o.</w:t>
            </w:r>
            <w:r w:rsidR="004D5F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o. z siedzibą w Warszawie, ul. </w:t>
            </w:r>
            <w:r w:rsidR="004D5F51">
              <w:rPr>
                <w:rFonts w:asciiTheme="minorHAnsi" w:hAnsiTheme="minorHAnsi"/>
                <w:sz w:val="20"/>
                <w:szCs w:val="20"/>
              </w:rPr>
              <w:t>Kolejowa 1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>, (</w:t>
            </w:r>
            <w:r w:rsidR="004D5F51">
              <w:rPr>
                <w:rFonts w:asciiTheme="minorHAnsi" w:hAnsiTheme="minorHAnsi"/>
                <w:sz w:val="20"/>
                <w:szCs w:val="20"/>
              </w:rPr>
              <w:t>01-217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  <w:r w:rsidR="00CC3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Zakład</w:t>
            </w:r>
            <w:r w:rsidR="00CC332A">
              <w:rPr>
                <w:rFonts w:asciiTheme="minorHAnsi" w:hAnsiTheme="minorHAnsi"/>
                <w:sz w:val="20"/>
                <w:szCs w:val="20"/>
              </w:rPr>
              <w:t xml:space="preserve"> Lubelski w Lublinie ul. Gazowa 4 20-406 Lublin 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602529" w:rsidP="00B34DD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8875E7" w:rsidRPr="008875E7">
              <w:rPr>
                <w:rFonts w:asciiTheme="minorHAnsi" w:hAnsiTheme="minorHAnsi"/>
                <w:sz w:val="20"/>
                <w:szCs w:val="20"/>
              </w:rPr>
              <w:t>aprawa główna 6 sztuk zespołów napędowych z trzech pojazdów kolejowych typu 218Md serii SA134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5427C2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</w:t>
            </w:r>
            <w:r w:rsidR="00CC332A">
              <w:rPr>
                <w:rFonts w:asciiTheme="minorHAnsi" w:hAnsiTheme="minorHAnsi"/>
                <w:sz w:val="20"/>
                <w:szCs w:val="20"/>
                <w:u w:val="single"/>
              </w:rPr>
              <w:t>R</w:t>
            </w:r>
            <w:r w:rsidR="00B34DD0">
              <w:rPr>
                <w:rFonts w:asciiTheme="minorHAnsi" w:hAnsiTheme="minorHAnsi"/>
                <w:sz w:val="20"/>
                <w:szCs w:val="20"/>
                <w:u w:val="single"/>
              </w:rPr>
              <w:t>T</w:t>
            </w:r>
            <w:r w:rsidR="004D5F51">
              <w:rPr>
                <w:rFonts w:asciiTheme="minorHAnsi" w:hAnsiTheme="minorHAnsi"/>
                <w:sz w:val="20"/>
                <w:szCs w:val="20"/>
                <w:u w:val="single"/>
              </w:rPr>
              <w:t>c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-25</w:t>
            </w:r>
            <w:r w:rsidR="009C4B1C">
              <w:rPr>
                <w:rFonts w:asciiTheme="minorHAnsi" w:hAnsiTheme="minorHAnsi"/>
                <w:sz w:val="20"/>
                <w:szCs w:val="20"/>
                <w:u w:val="single"/>
              </w:rPr>
              <w:t>1/</w:t>
            </w:r>
            <w:r w:rsidR="005427C2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  <w:r w:rsidR="008875E7">
              <w:rPr>
                <w:rFonts w:asciiTheme="minorHAnsi" w:hAnsiTheme="minorHAnsi"/>
                <w:sz w:val="20"/>
                <w:szCs w:val="20"/>
                <w:u w:val="single"/>
              </w:rPr>
              <w:t>/2020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CE2945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CE2945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CE2945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602529">
        <w:rPr>
          <w:rFonts w:asciiTheme="minorHAnsi" w:eastAsia="Calibri" w:hAnsiTheme="minorHAnsi"/>
          <w:i/>
          <w:sz w:val="20"/>
          <w:szCs w:val="20"/>
          <w:lang w:eastAsia="en-GB"/>
        </w:rPr>
        <w:t>Polregio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sp. z o.o. (ul. 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Kolejowa1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0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1-217</w:t>
      </w:r>
      <w:r w:rsidR="00612A20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602529" w:rsidRPr="00602529">
        <w:rPr>
          <w:rFonts w:asciiTheme="minorHAnsi" w:eastAsia="Calibri" w:hAnsiTheme="minorHAnsi"/>
          <w:i/>
          <w:sz w:val="20"/>
          <w:szCs w:val="20"/>
          <w:lang w:eastAsia="en-GB"/>
        </w:rPr>
        <w:t>naprawa główna 6 sztuk zespołów napędowych z trzech pojazdów kolejowych typu 218Md serii SA134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</w:t>
      </w:r>
      <w:r w:rsidR="000E1FC7">
        <w:rPr>
          <w:rFonts w:asciiTheme="minorHAnsi" w:eastAsia="Calibri" w:hAnsiTheme="minorHAnsi"/>
          <w:i/>
          <w:sz w:val="20"/>
          <w:szCs w:val="20"/>
          <w:lang w:eastAsia="en-GB"/>
        </w:rPr>
        <w:t>R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Tc</w:t>
      </w:r>
      <w:r w:rsidR="000E1FC7">
        <w:rPr>
          <w:rFonts w:asciiTheme="minorHAnsi" w:eastAsia="Calibri" w:hAnsiTheme="minorHAnsi"/>
          <w:i/>
          <w:sz w:val="20"/>
          <w:szCs w:val="20"/>
          <w:lang w:eastAsia="en-GB"/>
        </w:rPr>
        <w:t>-251/</w:t>
      </w:r>
      <w:r w:rsidR="00D8578D">
        <w:rPr>
          <w:rFonts w:asciiTheme="minorHAnsi" w:eastAsia="Calibri" w:hAnsiTheme="minorHAnsi"/>
          <w:i/>
          <w:sz w:val="20"/>
          <w:szCs w:val="20"/>
          <w:lang w:eastAsia="en-GB"/>
        </w:rPr>
        <w:t>1</w:t>
      </w:r>
      <w:r w:rsidR="00602529">
        <w:rPr>
          <w:rFonts w:asciiTheme="minorHAnsi" w:eastAsia="Calibri" w:hAnsiTheme="minorHAnsi"/>
          <w:i/>
          <w:sz w:val="20"/>
          <w:szCs w:val="20"/>
          <w:lang w:eastAsia="en-GB"/>
        </w:rPr>
        <w:t>/2020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322967">
      <w:bookmarkStart w:id="0" w:name="_GoBack"/>
      <w:bookmarkEnd w:id="0"/>
    </w:p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67" w:rsidRDefault="00322967" w:rsidP="00464F72">
      <w:pPr>
        <w:spacing w:line="240" w:lineRule="auto"/>
      </w:pPr>
      <w:r>
        <w:separator/>
      </w:r>
    </w:p>
  </w:endnote>
  <w:endnote w:type="continuationSeparator" w:id="0">
    <w:p w:rsidR="00322967" w:rsidRDefault="00322967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67" w:rsidRDefault="00322967" w:rsidP="00464F72">
      <w:pPr>
        <w:spacing w:line="240" w:lineRule="auto"/>
      </w:pPr>
      <w:r>
        <w:separator/>
      </w:r>
    </w:p>
  </w:footnote>
  <w:footnote w:type="continuationSeparator" w:id="0">
    <w:p w:rsidR="00322967" w:rsidRDefault="00322967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E1FC7"/>
    <w:rsid w:val="00160B67"/>
    <w:rsid w:val="00254A67"/>
    <w:rsid w:val="00322967"/>
    <w:rsid w:val="00330081"/>
    <w:rsid w:val="00370080"/>
    <w:rsid w:val="0039438B"/>
    <w:rsid w:val="003E6204"/>
    <w:rsid w:val="00415356"/>
    <w:rsid w:val="00453299"/>
    <w:rsid w:val="00464F72"/>
    <w:rsid w:val="004869F2"/>
    <w:rsid w:val="004D5F51"/>
    <w:rsid w:val="00527252"/>
    <w:rsid w:val="005355E5"/>
    <w:rsid w:val="005427C2"/>
    <w:rsid w:val="00552311"/>
    <w:rsid w:val="00602529"/>
    <w:rsid w:val="00612A20"/>
    <w:rsid w:val="00807A22"/>
    <w:rsid w:val="00876832"/>
    <w:rsid w:val="008875E7"/>
    <w:rsid w:val="009C4B1C"/>
    <w:rsid w:val="009E7FE8"/>
    <w:rsid w:val="00B15FFE"/>
    <w:rsid w:val="00B31D00"/>
    <w:rsid w:val="00B34DD0"/>
    <w:rsid w:val="00B62E4E"/>
    <w:rsid w:val="00B80F32"/>
    <w:rsid w:val="00C078E5"/>
    <w:rsid w:val="00C532E3"/>
    <w:rsid w:val="00C82694"/>
    <w:rsid w:val="00CC32DB"/>
    <w:rsid w:val="00CC332A"/>
    <w:rsid w:val="00CE2945"/>
    <w:rsid w:val="00D56805"/>
    <w:rsid w:val="00D8578D"/>
    <w:rsid w:val="00DD1900"/>
    <w:rsid w:val="00E05D54"/>
    <w:rsid w:val="00E1528E"/>
    <w:rsid w:val="00EF4898"/>
    <w:rsid w:val="00F318F5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4485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PR Lublin</cp:lastModifiedBy>
  <cp:revision>8</cp:revision>
  <dcterms:created xsi:type="dcterms:W3CDTF">2019-03-25T09:30:00Z</dcterms:created>
  <dcterms:modified xsi:type="dcterms:W3CDTF">2020-04-07T06:17:00Z</dcterms:modified>
</cp:coreProperties>
</file>