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D2" w:rsidRPr="001A109E" w:rsidRDefault="009E13D2" w:rsidP="009E13D2">
      <w:pPr>
        <w:ind w:firstLine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109E">
        <w:rPr>
          <w:rFonts w:ascii="Arial" w:hAnsi="Arial" w:cs="Arial"/>
          <w:b/>
          <w:sz w:val="24"/>
          <w:szCs w:val="24"/>
        </w:rPr>
        <w:t xml:space="preserve">Załącznik nr </w:t>
      </w:r>
      <w:r w:rsidR="00CF1D4D">
        <w:rPr>
          <w:rFonts w:ascii="Arial" w:hAnsi="Arial" w:cs="Arial"/>
          <w:b/>
          <w:sz w:val="24"/>
          <w:szCs w:val="24"/>
        </w:rPr>
        <w:t>2</w:t>
      </w:r>
    </w:p>
    <w:p w:rsidR="00A209F6" w:rsidRPr="001A109E" w:rsidRDefault="00A209F6" w:rsidP="009E13D2">
      <w:pPr>
        <w:ind w:firstLine="0"/>
        <w:jc w:val="right"/>
        <w:rPr>
          <w:rFonts w:ascii="Arial" w:hAnsi="Arial" w:cs="Arial"/>
          <w:b/>
          <w:sz w:val="24"/>
          <w:szCs w:val="24"/>
        </w:rPr>
      </w:pPr>
    </w:p>
    <w:p w:rsidR="000B4EF4" w:rsidRPr="001A109E" w:rsidRDefault="009E13D2" w:rsidP="009E13D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A109E">
        <w:rPr>
          <w:rFonts w:ascii="Arial" w:hAnsi="Arial" w:cs="Arial"/>
          <w:b/>
          <w:sz w:val="24"/>
          <w:szCs w:val="24"/>
        </w:rPr>
        <w:t xml:space="preserve">Charakterystyka </w:t>
      </w:r>
      <w:r w:rsidR="005F1567" w:rsidRPr="001A109E">
        <w:rPr>
          <w:rFonts w:ascii="Arial" w:hAnsi="Arial" w:cs="Arial"/>
          <w:b/>
          <w:sz w:val="24"/>
          <w:szCs w:val="24"/>
        </w:rPr>
        <w:t xml:space="preserve">pracy </w:t>
      </w:r>
      <w:r w:rsidRPr="001A109E">
        <w:rPr>
          <w:rFonts w:ascii="Arial" w:hAnsi="Arial" w:cs="Arial"/>
          <w:b/>
          <w:sz w:val="24"/>
          <w:szCs w:val="24"/>
        </w:rPr>
        <w:t>Rejonowego Laboratorium MPS</w:t>
      </w:r>
      <w:r w:rsidR="005F1567" w:rsidRPr="001A109E">
        <w:rPr>
          <w:rFonts w:ascii="Arial" w:hAnsi="Arial" w:cs="Arial"/>
          <w:b/>
          <w:sz w:val="24"/>
          <w:szCs w:val="24"/>
        </w:rPr>
        <w:t>.</w:t>
      </w:r>
    </w:p>
    <w:p w:rsidR="009E13D2" w:rsidRPr="001A109E" w:rsidRDefault="009E13D2" w:rsidP="009E13D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D40F3" w:rsidRPr="001A109E" w:rsidRDefault="00875232" w:rsidP="003D40F3">
      <w:pPr>
        <w:ind w:left="0" w:firstLine="708"/>
        <w:rPr>
          <w:rFonts w:ascii="Arial" w:hAnsi="Arial" w:cs="Arial"/>
          <w:sz w:val="24"/>
          <w:szCs w:val="24"/>
        </w:rPr>
      </w:pPr>
      <w:r w:rsidRPr="001A109E">
        <w:rPr>
          <w:rFonts w:ascii="Arial" w:hAnsi="Arial" w:cs="Arial"/>
          <w:sz w:val="24"/>
          <w:szCs w:val="24"/>
        </w:rPr>
        <w:t xml:space="preserve">W </w:t>
      </w:r>
      <w:r w:rsidR="003D40F3" w:rsidRPr="001A109E">
        <w:rPr>
          <w:rFonts w:ascii="Arial" w:hAnsi="Arial" w:cs="Arial"/>
          <w:sz w:val="24"/>
          <w:szCs w:val="24"/>
        </w:rPr>
        <w:t xml:space="preserve">dwóch </w:t>
      </w:r>
      <w:r w:rsidRPr="001A109E">
        <w:rPr>
          <w:rFonts w:ascii="Arial" w:hAnsi="Arial" w:cs="Arial"/>
          <w:sz w:val="24"/>
          <w:szCs w:val="24"/>
        </w:rPr>
        <w:t>pomieszczeniach</w:t>
      </w:r>
      <w:r w:rsidR="003D40F3" w:rsidRPr="001A109E">
        <w:rPr>
          <w:rFonts w:ascii="Arial" w:hAnsi="Arial" w:cs="Arial"/>
          <w:sz w:val="24"/>
          <w:szCs w:val="24"/>
        </w:rPr>
        <w:t xml:space="preserve"> – </w:t>
      </w:r>
      <w:r w:rsidRPr="001A109E">
        <w:rPr>
          <w:rFonts w:ascii="Arial" w:hAnsi="Arial" w:cs="Arial"/>
          <w:sz w:val="24"/>
          <w:szCs w:val="24"/>
        </w:rPr>
        <w:t>pracowni</w:t>
      </w:r>
      <w:r w:rsidR="003D40F3" w:rsidRPr="001A109E">
        <w:rPr>
          <w:rFonts w:ascii="Arial" w:hAnsi="Arial" w:cs="Arial"/>
          <w:sz w:val="24"/>
          <w:szCs w:val="24"/>
        </w:rPr>
        <w:t>ach</w:t>
      </w:r>
      <w:r w:rsidR="00FA2771" w:rsidRPr="001A109E">
        <w:rPr>
          <w:rFonts w:ascii="Arial" w:hAnsi="Arial" w:cs="Arial"/>
          <w:sz w:val="24"/>
          <w:szCs w:val="24"/>
        </w:rPr>
        <w:t xml:space="preserve"> laboratoryjnych </w:t>
      </w:r>
      <w:r w:rsidRPr="001A109E">
        <w:rPr>
          <w:rFonts w:ascii="Arial" w:hAnsi="Arial" w:cs="Arial"/>
          <w:sz w:val="24"/>
          <w:szCs w:val="24"/>
        </w:rPr>
        <w:t xml:space="preserve">wykonywane będą badania właściwości fizykochemicznych </w:t>
      </w:r>
      <w:r w:rsidR="00FA2771" w:rsidRPr="001A109E">
        <w:rPr>
          <w:rFonts w:ascii="Arial" w:hAnsi="Arial" w:cs="Arial"/>
          <w:sz w:val="24"/>
          <w:szCs w:val="24"/>
        </w:rPr>
        <w:t>produktów naftowych</w:t>
      </w:r>
      <w:r w:rsidRPr="001A109E">
        <w:rPr>
          <w:rFonts w:ascii="Arial" w:hAnsi="Arial" w:cs="Arial"/>
          <w:sz w:val="24"/>
          <w:szCs w:val="24"/>
        </w:rPr>
        <w:t xml:space="preserve"> (olej napę</w:t>
      </w:r>
      <w:r w:rsidR="00FA2771" w:rsidRPr="001A109E">
        <w:rPr>
          <w:rFonts w:ascii="Arial" w:hAnsi="Arial" w:cs="Arial"/>
          <w:sz w:val="24"/>
          <w:szCs w:val="24"/>
        </w:rPr>
        <w:t>dowy, benz</w:t>
      </w:r>
      <w:r w:rsidR="003D40F3" w:rsidRPr="001A109E">
        <w:rPr>
          <w:rFonts w:ascii="Arial" w:hAnsi="Arial" w:cs="Arial"/>
          <w:sz w:val="24"/>
          <w:szCs w:val="24"/>
        </w:rPr>
        <w:t xml:space="preserve">yna, paliwo lotnicze, oleje </w:t>
      </w:r>
      <w:r w:rsidR="00FA2771" w:rsidRPr="001A109E">
        <w:rPr>
          <w:rFonts w:ascii="Arial" w:hAnsi="Arial" w:cs="Arial"/>
          <w:sz w:val="24"/>
          <w:szCs w:val="24"/>
        </w:rPr>
        <w:t>smarowe, smary</w:t>
      </w:r>
      <w:r w:rsidR="003D40F3" w:rsidRPr="001A109E">
        <w:rPr>
          <w:rFonts w:ascii="Arial" w:hAnsi="Arial" w:cs="Arial"/>
          <w:sz w:val="24"/>
          <w:szCs w:val="24"/>
        </w:rPr>
        <w:t xml:space="preserve"> plastyczne</w:t>
      </w:r>
      <w:r w:rsidR="00FA2771" w:rsidRPr="001A109E">
        <w:rPr>
          <w:rFonts w:ascii="Arial" w:hAnsi="Arial" w:cs="Arial"/>
          <w:sz w:val="24"/>
          <w:szCs w:val="24"/>
        </w:rPr>
        <w:t>) oraz</w:t>
      </w:r>
      <w:r w:rsidRPr="001A109E">
        <w:rPr>
          <w:rFonts w:ascii="Arial" w:hAnsi="Arial" w:cs="Arial"/>
          <w:sz w:val="24"/>
          <w:szCs w:val="24"/>
        </w:rPr>
        <w:t xml:space="preserve"> płynów specjalnych (płyny do chłodnic, płyny hamulcowe). </w:t>
      </w:r>
      <w:r w:rsidR="009E13D2" w:rsidRPr="001A109E">
        <w:rPr>
          <w:rFonts w:ascii="Arial" w:hAnsi="Arial" w:cs="Arial"/>
          <w:sz w:val="24"/>
          <w:szCs w:val="24"/>
        </w:rPr>
        <w:t>Niektóre testy</w:t>
      </w:r>
      <w:r w:rsidR="00062278" w:rsidRPr="001A109E">
        <w:rPr>
          <w:rFonts w:ascii="Arial" w:hAnsi="Arial" w:cs="Arial"/>
          <w:sz w:val="24"/>
          <w:szCs w:val="24"/>
        </w:rPr>
        <w:t xml:space="preserve"> będą wymagały pracy </w:t>
      </w:r>
      <w:r w:rsidR="00A209F6" w:rsidRPr="001A109E">
        <w:rPr>
          <w:rFonts w:ascii="Arial" w:hAnsi="Arial" w:cs="Arial"/>
          <w:sz w:val="24"/>
          <w:szCs w:val="24"/>
        </w:rPr>
        <w:br/>
      </w:r>
      <w:r w:rsidR="009E13D2" w:rsidRPr="001A109E">
        <w:rPr>
          <w:rFonts w:ascii="Arial" w:hAnsi="Arial" w:cs="Arial"/>
          <w:sz w:val="24"/>
          <w:szCs w:val="24"/>
        </w:rPr>
        <w:t>z wykorzystaniem instalacji wyciągowej d</w:t>
      </w:r>
      <w:r w:rsidR="00A209F6" w:rsidRPr="001A109E">
        <w:rPr>
          <w:rFonts w:ascii="Arial" w:hAnsi="Arial" w:cs="Arial"/>
          <w:sz w:val="24"/>
          <w:szCs w:val="24"/>
        </w:rPr>
        <w:t>i</w:t>
      </w:r>
      <w:r w:rsidR="00062278" w:rsidRPr="001A109E">
        <w:rPr>
          <w:rFonts w:ascii="Arial" w:hAnsi="Arial" w:cs="Arial"/>
          <w:sz w:val="24"/>
          <w:szCs w:val="24"/>
        </w:rPr>
        <w:t xml:space="preserve">gestorium, ponieważ w trakcje badania </w:t>
      </w:r>
      <w:r w:rsidR="00EA48CA" w:rsidRPr="001A109E">
        <w:rPr>
          <w:rFonts w:ascii="Arial" w:hAnsi="Arial" w:cs="Arial"/>
          <w:sz w:val="24"/>
          <w:szCs w:val="24"/>
        </w:rPr>
        <w:t xml:space="preserve"> </w:t>
      </w:r>
      <w:r w:rsidR="00630C5E" w:rsidRPr="001A109E">
        <w:rPr>
          <w:rFonts w:ascii="Arial" w:hAnsi="Arial" w:cs="Arial"/>
          <w:sz w:val="24"/>
          <w:szCs w:val="24"/>
        </w:rPr>
        <w:t>wydzielać</w:t>
      </w:r>
      <w:r w:rsidR="00062278" w:rsidRPr="001A109E">
        <w:rPr>
          <w:rFonts w:ascii="Arial" w:hAnsi="Arial" w:cs="Arial"/>
          <w:sz w:val="24"/>
          <w:szCs w:val="24"/>
        </w:rPr>
        <w:t xml:space="preserve"> się</w:t>
      </w:r>
      <w:r w:rsidR="00685790" w:rsidRPr="001A109E">
        <w:rPr>
          <w:rFonts w:ascii="Arial" w:hAnsi="Arial" w:cs="Arial"/>
          <w:sz w:val="24"/>
          <w:szCs w:val="24"/>
        </w:rPr>
        <w:t xml:space="preserve"> będą</w:t>
      </w:r>
      <w:r w:rsidRPr="001A109E">
        <w:rPr>
          <w:rFonts w:ascii="Arial" w:hAnsi="Arial" w:cs="Arial"/>
          <w:sz w:val="24"/>
          <w:szCs w:val="24"/>
        </w:rPr>
        <w:t xml:space="preserve"> lotne substancje niebezpieczne </w:t>
      </w:r>
      <w:r w:rsidR="003D40F3" w:rsidRPr="001A109E">
        <w:rPr>
          <w:rFonts w:ascii="Arial" w:hAnsi="Arial" w:cs="Arial"/>
          <w:sz w:val="24"/>
          <w:szCs w:val="24"/>
        </w:rPr>
        <w:t xml:space="preserve">lub uciążliwe </w:t>
      </w:r>
      <w:r w:rsidRPr="001A109E">
        <w:rPr>
          <w:rFonts w:ascii="Arial" w:hAnsi="Arial" w:cs="Arial"/>
          <w:sz w:val="24"/>
          <w:szCs w:val="24"/>
        </w:rPr>
        <w:t>dla zdrowia</w:t>
      </w:r>
      <w:r w:rsidR="00EA48CA" w:rsidRPr="001A109E">
        <w:rPr>
          <w:rFonts w:ascii="Arial" w:hAnsi="Arial" w:cs="Arial"/>
          <w:sz w:val="24"/>
          <w:szCs w:val="24"/>
        </w:rPr>
        <w:t xml:space="preserve"> człowieka</w:t>
      </w:r>
      <w:r w:rsidR="00062278" w:rsidRPr="001A109E">
        <w:rPr>
          <w:rFonts w:ascii="Arial" w:hAnsi="Arial" w:cs="Arial"/>
          <w:sz w:val="24"/>
          <w:szCs w:val="24"/>
        </w:rPr>
        <w:t>.</w:t>
      </w:r>
      <w:r w:rsidR="00C079EA" w:rsidRPr="001A109E">
        <w:rPr>
          <w:rFonts w:ascii="Arial" w:hAnsi="Arial" w:cs="Arial"/>
          <w:sz w:val="24"/>
          <w:szCs w:val="24"/>
        </w:rPr>
        <w:t xml:space="preserve"> </w:t>
      </w:r>
      <w:r w:rsidR="00C94BB6" w:rsidRPr="001A109E">
        <w:rPr>
          <w:rFonts w:ascii="Arial" w:hAnsi="Arial" w:cs="Arial"/>
          <w:sz w:val="24"/>
          <w:szCs w:val="24"/>
        </w:rPr>
        <w:t xml:space="preserve">W szczególności będą </w:t>
      </w:r>
      <w:r w:rsidR="004C7A19" w:rsidRPr="001A109E">
        <w:rPr>
          <w:rFonts w:ascii="Arial" w:hAnsi="Arial" w:cs="Arial"/>
          <w:sz w:val="24"/>
          <w:szCs w:val="24"/>
        </w:rPr>
        <w:t>to procesy rozkładu termicznego, destylacji</w:t>
      </w:r>
      <w:r w:rsidR="003D40F3" w:rsidRPr="001A109E">
        <w:rPr>
          <w:rFonts w:ascii="Arial" w:hAnsi="Arial" w:cs="Arial"/>
          <w:sz w:val="24"/>
          <w:szCs w:val="24"/>
        </w:rPr>
        <w:t>, podgrzewania, spalania próbek</w:t>
      </w:r>
      <w:r w:rsidR="00630C5E" w:rsidRPr="001A109E">
        <w:rPr>
          <w:rFonts w:ascii="Arial" w:hAnsi="Arial" w:cs="Arial"/>
          <w:sz w:val="24"/>
          <w:szCs w:val="24"/>
        </w:rPr>
        <w:t xml:space="preserve">. Najwyższa przewidywana ilość próbki, która będzie </w:t>
      </w:r>
      <w:r w:rsidR="00A209F6" w:rsidRPr="001A109E">
        <w:rPr>
          <w:rFonts w:ascii="Arial" w:hAnsi="Arial" w:cs="Arial"/>
          <w:sz w:val="24"/>
          <w:szCs w:val="24"/>
        </w:rPr>
        <w:t>badana pod di</w:t>
      </w:r>
      <w:r w:rsidR="003D40F3" w:rsidRPr="001A109E">
        <w:rPr>
          <w:rFonts w:ascii="Arial" w:hAnsi="Arial" w:cs="Arial"/>
          <w:sz w:val="24"/>
          <w:szCs w:val="24"/>
        </w:rPr>
        <w:t>gestorium</w:t>
      </w:r>
      <w:r w:rsidR="00630C5E" w:rsidRPr="001A109E">
        <w:rPr>
          <w:rFonts w:ascii="Arial" w:hAnsi="Arial" w:cs="Arial"/>
          <w:sz w:val="24"/>
          <w:szCs w:val="24"/>
        </w:rPr>
        <w:t xml:space="preserve"> to ok</w:t>
      </w:r>
      <w:r w:rsidR="005F1567" w:rsidRPr="001A109E">
        <w:rPr>
          <w:rFonts w:ascii="Arial" w:hAnsi="Arial" w:cs="Arial"/>
          <w:sz w:val="24"/>
          <w:szCs w:val="24"/>
        </w:rPr>
        <w:t>.</w:t>
      </w:r>
      <w:r w:rsidR="00630C5E" w:rsidRPr="001A109E">
        <w:rPr>
          <w:rFonts w:ascii="Arial" w:hAnsi="Arial" w:cs="Arial"/>
          <w:sz w:val="24"/>
          <w:szCs w:val="24"/>
        </w:rPr>
        <w:t xml:space="preserve"> 100</w:t>
      </w:r>
      <w:r w:rsidR="003D40F3" w:rsidRPr="001A109E">
        <w:rPr>
          <w:rFonts w:ascii="Arial" w:hAnsi="Arial" w:cs="Arial"/>
          <w:sz w:val="24"/>
          <w:szCs w:val="24"/>
        </w:rPr>
        <w:t xml:space="preserve"> </w:t>
      </w:r>
      <w:r w:rsidR="00630C5E" w:rsidRPr="001A109E">
        <w:rPr>
          <w:rFonts w:ascii="Arial" w:hAnsi="Arial" w:cs="Arial"/>
          <w:sz w:val="24"/>
          <w:szCs w:val="24"/>
        </w:rPr>
        <w:t>ml (100</w:t>
      </w:r>
      <w:r w:rsidR="003D40F3" w:rsidRPr="001A109E">
        <w:rPr>
          <w:rFonts w:ascii="Arial" w:hAnsi="Arial" w:cs="Arial"/>
          <w:sz w:val="24"/>
          <w:szCs w:val="24"/>
        </w:rPr>
        <w:t xml:space="preserve"> </w:t>
      </w:r>
      <w:r w:rsidR="00630C5E" w:rsidRPr="001A109E">
        <w:rPr>
          <w:rFonts w:ascii="Arial" w:hAnsi="Arial" w:cs="Arial"/>
          <w:sz w:val="24"/>
          <w:szCs w:val="24"/>
        </w:rPr>
        <w:t xml:space="preserve">g). W trakcje przygotowywania próbek i analiz wykorzystywane będą również </w:t>
      </w:r>
      <w:r w:rsidR="00FD4C54" w:rsidRPr="001A109E">
        <w:rPr>
          <w:rFonts w:ascii="Arial" w:hAnsi="Arial" w:cs="Arial"/>
          <w:sz w:val="24"/>
          <w:szCs w:val="24"/>
        </w:rPr>
        <w:t xml:space="preserve">szkodliwe </w:t>
      </w:r>
      <w:r w:rsidR="003D40F3" w:rsidRPr="001A109E">
        <w:rPr>
          <w:rFonts w:ascii="Arial" w:hAnsi="Arial" w:cs="Arial"/>
          <w:sz w:val="24"/>
          <w:szCs w:val="24"/>
        </w:rPr>
        <w:t xml:space="preserve">dla zdrowia człowieka </w:t>
      </w:r>
      <w:r w:rsidR="00630C5E" w:rsidRPr="001A109E">
        <w:rPr>
          <w:rFonts w:ascii="Arial" w:hAnsi="Arial" w:cs="Arial"/>
          <w:sz w:val="24"/>
          <w:szCs w:val="24"/>
        </w:rPr>
        <w:t>odczynniki chemiczne (mutagenne, rakotwórcze).</w:t>
      </w:r>
      <w:r w:rsidR="003D40F3" w:rsidRPr="001A109E">
        <w:rPr>
          <w:rFonts w:ascii="Arial" w:hAnsi="Arial" w:cs="Arial"/>
          <w:sz w:val="24"/>
          <w:szCs w:val="24"/>
        </w:rPr>
        <w:t xml:space="preserve"> </w:t>
      </w:r>
    </w:p>
    <w:p w:rsidR="003D40F3" w:rsidRPr="001A109E" w:rsidRDefault="003D40F3" w:rsidP="003D40F3">
      <w:pPr>
        <w:ind w:left="0" w:firstLine="708"/>
        <w:rPr>
          <w:rFonts w:ascii="Arial" w:hAnsi="Arial" w:cs="Arial"/>
          <w:sz w:val="24"/>
          <w:szCs w:val="24"/>
        </w:rPr>
      </w:pPr>
      <w:r w:rsidRPr="001A109E">
        <w:rPr>
          <w:rFonts w:ascii="Arial" w:hAnsi="Arial" w:cs="Arial"/>
          <w:sz w:val="24"/>
          <w:szCs w:val="24"/>
        </w:rPr>
        <w:t xml:space="preserve">Z względu na ilość personelu (4 laborantów) i niewielką ilość wykonywanych testów </w:t>
      </w:r>
      <w:r w:rsidR="00A209F6" w:rsidRPr="001A109E">
        <w:rPr>
          <w:rFonts w:ascii="Arial" w:hAnsi="Arial" w:cs="Arial"/>
          <w:sz w:val="24"/>
          <w:szCs w:val="24"/>
        </w:rPr>
        <w:t>nie zakłada się pracy ciągłej di</w:t>
      </w:r>
      <w:r w:rsidRPr="001A109E">
        <w:rPr>
          <w:rFonts w:ascii="Arial" w:hAnsi="Arial" w:cs="Arial"/>
          <w:sz w:val="24"/>
          <w:szCs w:val="24"/>
        </w:rPr>
        <w:t>gestoriów oraz przyjmuje się zasadę naprzemiennego</w:t>
      </w:r>
      <w:r w:rsidR="00A209F6" w:rsidRPr="001A109E">
        <w:rPr>
          <w:rFonts w:ascii="Arial" w:hAnsi="Arial" w:cs="Arial"/>
          <w:sz w:val="24"/>
          <w:szCs w:val="24"/>
        </w:rPr>
        <w:t xml:space="preserve"> i niejednoczesnego działania di</w:t>
      </w:r>
      <w:r w:rsidRPr="001A109E">
        <w:rPr>
          <w:rFonts w:ascii="Arial" w:hAnsi="Arial" w:cs="Arial"/>
          <w:sz w:val="24"/>
          <w:szCs w:val="24"/>
        </w:rPr>
        <w:t xml:space="preserve">gestoriów w obu pracowniach. </w:t>
      </w:r>
    </w:p>
    <w:p w:rsidR="00875232" w:rsidRPr="001A109E" w:rsidRDefault="00A209F6" w:rsidP="003D40F3">
      <w:pPr>
        <w:ind w:left="0" w:firstLine="0"/>
        <w:rPr>
          <w:rFonts w:ascii="Arial" w:hAnsi="Arial" w:cs="Arial"/>
          <w:sz w:val="24"/>
          <w:szCs w:val="24"/>
        </w:rPr>
      </w:pPr>
      <w:r w:rsidRPr="001A109E">
        <w:rPr>
          <w:rFonts w:ascii="Arial" w:hAnsi="Arial" w:cs="Arial"/>
          <w:sz w:val="24"/>
          <w:szCs w:val="24"/>
        </w:rPr>
        <w:t>Di</w:t>
      </w:r>
      <w:r w:rsidR="00630C5E" w:rsidRPr="001A109E">
        <w:rPr>
          <w:rFonts w:ascii="Arial" w:hAnsi="Arial" w:cs="Arial"/>
          <w:sz w:val="24"/>
          <w:szCs w:val="24"/>
        </w:rPr>
        <w:t>gestoria będą uruchamiane podczas wykonywania całego procesu analitycznego określonego testu. W poniższej tabeli zamieszczono rodzaj badania</w:t>
      </w:r>
      <w:r w:rsidR="00A93D46" w:rsidRPr="001A109E">
        <w:rPr>
          <w:rFonts w:ascii="Arial" w:hAnsi="Arial" w:cs="Arial"/>
          <w:sz w:val="24"/>
          <w:szCs w:val="24"/>
        </w:rPr>
        <w:t>, któ</w:t>
      </w:r>
      <w:r w:rsidRPr="001A109E">
        <w:rPr>
          <w:rFonts w:ascii="Arial" w:hAnsi="Arial" w:cs="Arial"/>
          <w:sz w:val="24"/>
          <w:szCs w:val="24"/>
        </w:rPr>
        <w:t>re powinno być wykowywane pod di</w:t>
      </w:r>
      <w:r w:rsidR="00A93D46" w:rsidRPr="001A109E">
        <w:rPr>
          <w:rFonts w:ascii="Arial" w:hAnsi="Arial" w:cs="Arial"/>
          <w:sz w:val="24"/>
          <w:szCs w:val="24"/>
        </w:rPr>
        <w:t>gestorium oraz jego charakterystykę.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553"/>
        <w:gridCol w:w="1129"/>
        <w:gridCol w:w="1423"/>
        <w:gridCol w:w="1979"/>
      </w:tblGrid>
      <w:tr w:rsidR="00AD1C06" w:rsidRPr="001A109E" w:rsidTr="000F4B98">
        <w:trPr>
          <w:trHeight w:val="1200"/>
          <w:tblHeader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763C16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Rodzaj testu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Warunki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A209F6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Szacunkowy czas pracy wyciągu di</w:t>
            </w:r>
            <w:r w:rsidR="00F12EE9" w:rsidRPr="001A10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gestorium [min]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E9" w:rsidRPr="001A109E" w:rsidRDefault="00875232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Częstotliwość wykonywania testu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D1C06" w:rsidRPr="001A109E" w:rsidTr="000F4B98">
        <w:trPr>
          <w:trHeight w:val="70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Gęstość </w:t>
            </w:r>
            <w:r w:rsidR="00AD1C06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paliw 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15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o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9E13D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9E13D2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oztwó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 nadsiarczanu amonu w kw. siarkowym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034324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F12EE9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hwilowe</w:t>
            </w:r>
          </w:p>
          <w:p w:rsidR="00EA48CA" w:rsidRPr="001A109E" w:rsidRDefault="00EA48C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ok. 5 min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E9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2/dzień</w:t>
            </w:r>
          </w:p>
          <w:p w:rsidR="009C7470" w:rsidRPr="001A109E" w:rsidRDefault="009C7470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tyg.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EA48C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Przewietrzenie po </w:t>
            </w:r>
            <w:r w:rsidR="00F12EE9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przemywani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F12EE9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aparatu</w:t>
            </w:r>
          </w:p>
        </w:tc>
      </w:tr>
      <w:tr w:rsidR="00AD1C06" w:rsidRPr="001A109E" w:rsidTr="000F4B98">
        <w:trPr>
          <w:trHeight w:val="34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Pozostałość po koksowaniu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podgrzewanie do 500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o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BB570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ok.</w:t>
            </w:r>
            <w:r w:rsidR="00F12EE9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E9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1/dzień</w:t>
            </w:r>
          </w:p>
          <w:p w:rsidR="0018732A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w tyg</w:t>
            </w:r>
            <w:r w:rsidR="001B0ABC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E77C34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Wentylacja w czasie testu + chłodzenie</w:t>
            </w:r>
          </w:p>
        </w:tc>
      </w:tr>
      <w:tr w:rsidR="00AD1C06" w:rsidRPr="001A109E" w:rsidTr="000F4B98">
        <w:trPr>
          <w:trHeight w:val="34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 frakcyjny metodą destylacji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podgrzewanie do 250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o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E9" w:rsidRPr="001A109E" w:rsidRDefault="00AD1C06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2/dzień</w:t>
            </w:r>
          </w:p>
          <w:p w:rsidR="009C7470" w:rsidRPr="001A109E" w:rsidRDefault="009C7470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tyg.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praca + chłodzenie</w:t>
            </w:r>
          </w:p>
        </w:tc>
      </w:tr>
      <w:tr w:rsidR="00AD1C06" w:rsidRPr="001A109E" w:rsidTr="000F4B98">
        <w:trPr>
          <w:trHeight w:val="34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Temperatura zapłonu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podgrzewanie do 140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o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E9" w:rsidRPr="001A109E" w:rsidRDefault="009C7470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2/dzień</w:t>
            </w:r>
          </w:p>
          <w:p w:rsidR="009C7470" w:rsidRPr="001A109E" w:rsidRDefault="009C7470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tyg.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Przewietrzenie po badaniu+ chłodzenie</w:t>
            </w:r>
          </w:p>
        </w:tc>
      </w:tr>
      <w:tr w:rsidR="00AD1C06" w:rsidRPr="001A109E" w:rsidTr="000F4B98">
        <w:trPr>
          <w:trHeight w:val="34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Pozostałość po spopieleniu</w:t>
            </w:r>
            <w:r w:rsidR="00AD1C06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olejów smarowych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BB570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podgrzewanie do </w:t>
            </w:r>
            <w:r w:rsidR="00BB5709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o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085906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2A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1/dzień</w:t>
            </w:r>
          </w:p>
          <w:p w:rsidR="00F12EE9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w tyg</w:t>
            </w:r>
            <w:r w:rsidR="001B0ABC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Wentylacja w czasie testu</w:t>
            </w:r>
            <w:r w:rsidR="00F12EE9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 chłodzenie</w:t>
            </w:r>
          </w:p>
        </w:tc>
      </w:tr>
      <w:tr w:rsidR="00AD1C06" w:rsidRPr="001A109E" w:rsidTr="000F4B98">
        <w:trPr>
          <w:trHeight w:val="6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Temperatura kroplenia</w:t>
            </w:r>
            <w:r w:rsidR="00AD1C06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smarów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sporadycznie, przy podgrzewaniu do 280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o</w:t>
            </w: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F12EE9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40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70" w:rsidRPr="001A109E" w:rsidRDefault="009C7470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1/dzień</w:t>
            </w:r>
          </w:p>
          <w:p w:rsidR="00F12EE9" w:rsidRPr="001A109E" w:rsidRDefault="009C7470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w tyg</w:t>
            </w:r>
            <w:r w:rsidR="001B0ABC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12EE9" w:rsidRPr="001A109E" w:rsidRDefault="0018732A" w:rsidP="00FE02B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Przewietrzenie po badaniu</w:t>
            </w:r>
            <w:r w:rsidR="00F12EE9" w:rsidRPr="001A10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 chłodzenie</w:t>
            </w:r>
          </w:p>
        </w:tc>
      </w:tr>
    </w:tbl>
    <w:p w:rsidR="00F12EE9" w:rsidRPr="001A109E" w:rsidRDefault="00F12EE9" w:rsidP="006969A1">
      <w:pPr>
        <w:rPr>
          <w:rFonts w:ascii="Arial" w:hAnsi="Arial" w:cs="Arial"/>
          <w:sz w:val="24"/>
          <w:szCs w:val="24"/>
        </w:rPr>
      </w:pPr>
    </w:p>
    <w:p w:rsidR="00A93D46" w:rsidRPr="001A109E" w:rsidRDefault="00A93D46" w:rsidP="006969A1">
      <w:pPr>
        <w:rPr>
          <w:rFonts w:ascii="Arial" w:hAnsi="Arial" w:cs="Arial"/>
          <w:sz w:val="24"/>
          <w:szCs w:val="24"/>
        </w:rPr>
      </w:pPr>
    </w:p>
    <w:sectPr w:rsidR="00A93D46" w:rsidRPr="001A109E" w:rsidSect="00F4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98" w:rsidRDefault="000F4B98" w:rsidP="000F4B98">
      <w:pPr>
        <w:spacing w:line="240" w:lineRule="auto"/>
      </w:pPr>
      <w:r>
        <w:separator/>
      </w:r>
    </w:p>
  </w:endnote>
  <w:endnote w:type="continuationSeparator" w:id="0">
    <w:p w:rsidR="000F4B98" w:rsidRDefault="000F4B98" w:rsidP="000F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98" w:rsidRDefault="000F4B98" w:rsidP="000F4B98">
      <w:pPr>
        <w:spacing w:line="240" w:lineRule="auto"/>
      </w:pPr>
      <w:r>
        <w:separator/>
      </w:r>
    </w:p>
  </w:footnote>
  <w:footnote w:type="continuationSeparator" w:id="0">
    <w:p w:rsidR="000F4B98" w:rsidRDefault="000F4B98" w:rsidP="000F4B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5"/>
    <w:rsid w:val="00012C37"/>
    <w:rsid w:val="00034324"/>
    <w:rsid w:val="00062278"/>
    <w:rsid w:val="00085906"/>
    <w:rsid w:val="000B4EF4"/>
    <w:rsid w:val="000F4B98"/>
    <w:rsid w:val="0018732A"/>
    <w:rsid w:val="001A109E"/>
    <w:rsid w:val="001B0ABC"/>
    <w:rsid w:val="001E559B"/>
    <w:rsid w:val="002413C0"/>
    <w:rsid w:val="003D40F3"/>
    <w:rsid w:val="003F28E6"/>
    <w:rsid w:val="004568D6"/>
    <w:rsid w:val="004C7A19"/>
    <w:rsid w:val="0051746D"/>
    <w:rsid w:val="00577A9E"/>
    <w:rsid w:val="00581243"/>
    <w:rsid w:val="005F1567"/>
    <w:rsid w:val="005F3FDC"/>
    <w:rsid w:val="00630C5E"/>
    <w:rsid w:val="00685790"/>
    <w:rsid w:val="006969A1"/>
    <w:rsid w:val="006C30B4"/>
    <w:rsid w:val="00722846"/>
    <w:rsid w:val="00723E5E"/>
    <w:rsid w:val="00763C16"/>
    <w:rsid w:val="00853167"/>
    <w:rsid w:val="00875232"/>
    <w:rsid w:val="008A1AF9"/>
    <w:rsid w:val="008D6B5A"/>
    <w:rsid w:val="009C7470"/>
    <w:rsid w:val="009D61D5"/>
    <w:rsid w:val="009E13D2"/>
    <w:rsid w:val="00A04398"/>
    <w:rsid w:val="00A209F6"/>
    <w:rsid w:val="00A93D46"/>
    <w:rsid w:val="00AD1C06"/>
    <w:rsid w:val="00AF0191"/>
    <w:rsid w:val="00BB5709"/>
    <w:rsid w:val="00C079EA"/>
    <w:rsid w:val="00C94BB6"/>
    <w:rsid w:val="00CF1D4D"/>
    <w:rsid w:val="00D30950"/>
    <w:rsid w:val="00E761EB"/>
    <w:rsid w:val="00E77C34"/>
    <w:rsid w:val="00EA48CA"/>
    <w:rsid w:val="00F12EE9"/>
    <w:rsid w:val="00F43BA4"/>
    <w:rsid w:val="00FA2771"/>
    <w:rsid w:val="00FB0DAB"/>
    <w:rsid w:val="00FD4C5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46B31-D621-42E7-8BDB-4630E78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9D61D5"/>
    <w:pPr>
      <w:autoSpaceDE w:val="0"/>
      <w:autoSpaceDN w:val="0"/>
      <w:adjustRightInd w:val="0"/>
      <w:spacing w:line="19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B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B98"/>
  </w:style>
  <w:style w:type="paragraph" w:styleId="Stopka">
    <w:name w:val="footer"/>
    <w:basedOn w:val="Normalny"/>
    <w:link w:val="StopkaZnak"/>
    <w:uiPriority w:val="99"/>
    <w:unhideWhenUsed/>
    <w:rsid w:val="000F4B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B98"/>
  </w:style>
  <w:style w:type="paragraph" w:styleId="Tekstdymka">
    <w:name w:val="Balloon Text"/>
    <w:basedOn w:val="Normalny"/>
    <w:link w:val="TekstdymkaZnak"/>
    <w:uiPriority w:val="99"/>
    <w:semiHidden/>
    <w:unhideWhenUsed/>
    <w:rsid w:val="000F4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2BACB6-C3DD-4B9D-AEDF-A0CE4F9895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CYMIŃSKA Magdalena</cp:lastModifiedBy>
  <cp:revision>3</cp:revision>
  <cp:lastPrinted>2021-06-30T06:17:00Z</cp:lastPrinted>
  <dcterms:created xsi:type="dcterms:W3CDTF">2021-06-22T12:47:00Z</dcterms:created>
  <dcterms:modified xsi:type="dcterms:W3CDTF">2021-06-30T10:46:00Z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2f9502c5-8799-42a6-a134-987fc88bbada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dZ+nvCD5np+K1d/NDmgtOQ4I2loFrhUI</vt:lpwstr>
  </property>
</Properties>
</file>