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EF33DB">
      <w:pPr>
        <w:jc w:val="center"/>
        <w:rPr>
          <w:rFonts w:ascii="Arial" w:hAnsi="Arial" w:cs="Arial"/>
          <w:b/>
          <w:caps/>
          <w:sz w:val="40"/>
          <w:szCs w:val="40"/>
        </w:rPr>
      </w:pPr>
      <w:r w:rsidRPr="00BE6EC2">
        <w:rPr>
          <w:rFonts w:ascii="Arial" w:hAnsi="Arial" w:cs="Arial"/>
          <w:b/>
          <w:caps/>
          <w:sz w:val="40"/>
          <w:szCs w:val="40"/>
        </w:rPr>
        <w:t>Specyfikacja warunków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w trybie podstawowym bez negocjacji w wartości nieprzekraczającej progów unijnych o jak</w:t>
      </w:r>
      <w:bookmarkStart w:id="0" w:name="_GoBack"/>
      <w:bookmarkEnd w:id="0"/>
      <w:r w:rsidRPr="00F23106">
        <w:rPr>
          <w:rFonts w:ascii="Arial" w:hAnsi="Arial" w:cs="Arial"/>
        </w:rPr>
        <w:t xml:space="preserve">ich stanowi art. 3 ustawy z 11 września 2019 r. – prawo zamówień publicznych </w:t>
      </w:r>
      <w:r w:rsidRPr="00F23106">
        <w:rPr>
          <w:rFonts w:ascii="Arial" w:hAnsi="Arial" w:cs="Arial"/>
        </w:rPr>
        <w:br/>
        <w:t xml:space="preserve">(Dz. U. z 2019 r. poz. 2019)- dalej pzp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8C24CB" w:rsidRPr="008C24CB">
        <w:rPr>
          <w:rFonts w:ascii="Arial" w:hAnsi="Arial" w:cs="Arial"/>
          <w:b/>
          <w:caps/>
          <w:sz w:val="28"/>
          <w:szCs w:val="28"/>
        </w:rPr>
        <w:t xml:space="preserve">Termomodernizacja budynku przychodni zdrowia </w:t>
      </w:r>
      <w:r w:rsidR="008C24CB">
        <w:rPr>
          <w:rFonts w:ascii="Arial" w:hAnsi="Arial" w:cs="Arial"/>
          <w:b/>
          <w:caps/>
          <w:sz w:val="28"/>
          <w:szCs w:val="28"/>
        </w:rPr>
        <w:br/>
      </w:r>
      <w:r w:rsidR="008C24CB" w:rsidRPr="008C24CB">
        <w:rPr>
          <w:rFonts w:ascii="Arial" w:hAnsi="Arial" w:cs="Arial"/>
          <w:b/>
          <w:caps/>
          <w:sz w:val="28"/>
          <w:szCs w:val="28"/>
        </w:rPr>
        <w:t>w Suszu</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531025">
        <w:rPr>
          <w:rFonts w:ascii="Arial" w:hAnsi="Arial" w:cs="Arial"/>
        </w:rPr>
        <w:t>1</w:t>
      </w:r>
      <w:r w:rsidR="008C24CB">
        <w:rPr>
          <w:rFonts w:ascii="Arial" w:hAnsi="Arial" w:cs="Arial"/>
        </w:rPr>
        <w:t>4</w:t>
      </w:r>
      <w:r w:rsidRPr="00F23106">
        <w:rPr>
          <w:rFonts w:ascii="Arial" w:hAnsi="Arial" w:cs="Arial"/>
        </w:rPr>
        <w:t>.2021</w:t>
      </w:r>
    </w:p>
    <w:p w:rsidR="00F2439B" w:rsidRPr="00650216"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xml:space="preserve">, dnia </w:t>
      </w:r>
      <w:r w:rsidR="00450236">
        <w:rPr>
          <w:rFonts w:ascii="Arial" w:hAnsi="Arial" w:cs="Arial"/>
          <w:b/>
          <w:caps/>
        </w:rPr>
        <w:t>08</w:t>
      </w:r>
      <w:r w:rsidR="00367BDA" w:rsidRPr="00650216">
        <w:rPr>
          <w:rFonts w:ascii="Arial" w:hAnsi="Arial" w:cs="Arial"/>
          <w:b/>
          <w:caps/>
        </w:rPr>
        <w:t>.0</w:t>
      </w:r>
      <w:r w:rsidR="00450236">
        <w:rPr>
          <w:rFonts w:ascii="Arial" w:hAnsi="Arial" w:cs="Arial"/>
          <w:b/>
          <w:caps/>
        </w:rPr>
        <w:t>6</w:t>
      </w:r>
      <w:r w:rsidR="00367BDA" w:rsidRPr="00650216">
        <w:rPr>
          <w:rFonts w:ascii="Arial" w:hAnsi="Arial" w:cs="Arial"/>
          <w:b/>
          <w:caps/>
        </w:rPr>
        <w:t>.</w:t>
      </w:r>
      <w:r w:rsidRPr="00650216">
        <w:rPr>
          <w:rFonts w:ascii="Arial" w:hAnsi="Arial" w:cs="Arial"/>
          <w:b/>
          <w:caps/>
        </w:rPr>
        <w:t>2021</w:t>
      </w:r>
    </w:p>
    <w:p w:rsidR="00F2439B" w:rsidRPr="00650216" w:rsidRDefault="00F2439B" w:rsidP="00F2439B">
      <w:pPr>
        <w:jc w:val="center"/>
        <w:rPr>
          <w:rFonts w:ascii="Arial" w:hAnsi="Arial" w:cs="Arial"/>
          <w:b/>
          <w:caps/>
        </w:rPr>
      </w:pPr>
    </w:p>
    <w:p w:rsidR="00F2439B" w:rsidRPr="00650216" w:rsidRDefault="00F2439B" w:rsidP="00F2439B">
      <w:pPr>
        <w:widowControl w:val="0"/>
        <w:autoSpaceDE w:val="0"/>
        <w:autoSpaceDN w:val="0"/>
        <w:adjustRightInd w:val="0"/>
        <w:spacing w:after="0" w:line="240" w:lineRule="auto"/>
        <w:rPr>
          <w:rFonts w:ascii="Arial" w:hAnsi="Arial" w:cs="Arial"/>
          <w:b/>
          <w:color w:val="000000"/>
        </w:rPr>
      </w:pPr>
      <w:r w:rsidRPr="00650216">
        <w:rPr>
          <w:rFonts w:ascii="Arial" w:hAnsi="Arial" w:cs="Arial"/>
          <w:b/>
          <w:color w:val="000000"/>
        </w:rPr>
        <w:t xml:space="preserve">Termin składania ofert </w:t>
      </w:r>
      <w:r w:rsidR="00450236">
        <w:rPr>
          <w:rFonts w:ascii="Arial" w:hAnsi="Arial" w:cs="Arial"/>
          <w:b/>
          <w:color w:val="000000"/>
        </w:rPr>
        <w:t>23</w:t>
      </w:r>
      <w:r w:rsidR="00015C99" w:rsidRPr="00650216">
        <w:rPr>
          <w:rFonts w:ascii="Arial" w:hAnsi="Arial" w:cs="Arial"/>
          <w:b/>
          <w:color w:val="000000"/>
        </w:rPr>
        <w:t>.0</w:t>
      </w:r>
      <w:r w:rsidR="00450236">
        <w:rPr>
          <w:rFonts w:ascii="Arial" w:hAnsi="Arial" w:cs="Arial"/>
          <w:b/>
          <w:color w:val="000000"/>
        </w:rPr>
        <w:t>6</w:t>
      </w:r>
      <w:r w:rsidR="00015C99" w:rsidRPr="00650216">
        <w:rPr>
          <w:rFonts w:ascii="Arial" w:hAnsi="Arial" w:cs="Arial"/>
          <w:b/>
          <w:color w:val="000000"/>
        </w:rPr>
        <w:t>.</w:t>
      </w:r>
      <w:r w:rsidRPr="00650216">
        <w:rPr>
          <w:rFonts w:ascii="Arial" w:hAnsi="Arial" w:cs="Arial"/>
          <w:b/>
          <w:color w:val="000000"/>
        </w:rPr>
        <w:t>2021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650216">
        <w:rPr>
          <w:rFonts w:ascii="Arial" w:hAnsi="Arial" w:cs="Arial"/>
          <w:b/>
          <w:color w:val="000000"/>
        </w:rPr>
        <w:t xml:space="preserve">Termin otwarcia ofert </w:t>
      </w:r>
      <w:r w:rsidR="00450236">
        <w:rPr>
          <w:rFonts w:ascii="Arial" w:hAnsi="Arial" w:cs="Arial"/>
          <w:b/>
          <w:color w:val="000000"/>
        </w:rPr>
        <w:t>23</w:t>
      </w:r>
      <w:r w:rsidRPr="00650216">
        <w:rPr>
          <w:rFonts w:ascii="Arial" w:hAnsi="Arial" w:cs="Arial"/>
          <w:b/>
          <w:color w:val="000000"/>
        </w:rPr>
        <w:t>.0</w:t>
      </w:r>
      <w:r w:rsidR="00531025" w:rsidRPr="00650216">
        <w:rPr>
          <w:rFonts w:ascii="Arial" w:hAnsi="Arial" w:cs="Arial"/>
          <w:b/>
          <w:color w:val="000000"/>
        </w:rPr>
        <w:t>6</w:t>
      </w:r>
      <w:r w:rsidRPr="00650216">
        <w:rPr>
          <w:rFonts w:ascii="Arial" w:hAnsi="Arial" w:cs="Arial"/>
          <w:b/>
          <w:color w:val="000000"/>
        </w:rPr>
        <w:t>.2021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015C99" w:rsidP="00596781">
      <w:pPr>
        <w:pStyle w:val="Zwykytekst"/>
        <w:ind w:left="4956"/>
        <w:jc w:val="center"/>
        <w:rPr>
          <w:rFonts w:ascii="Arial" w:hAnsi="Arial" w:cs="Arial"/>
          <w:b/>
          <w:sz w:val="20"/>
          <w:szCs w:val="20"/>
        </w:rPr>
      </w:pPr>
      <w:r>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015C99">
        <w:rPr>
          <w:rFonts w:ascii="Arial" w:hAnsi="Arial" w:cs="Arial"/>
          <w:b/>
          <w:sz w:val="20"/>
          <w:szCs w:val="20"/>
        </w:rPr>
        <w:t>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CD4352"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74045016" w:history="1">
            <w:r w:rsidR="00CD4352" w:rsidRPr="00F83395">
              <w:rPr>
                <w:rStyle w:val="Hipercze"/>
                <w:noProof/>
              </w:rPr>
              <w:t>I. Nazwa oraz adres zamawiającego</w:t>
            </w:r>
            <w:r w:rsidR="00CD4352">
              <w:rPr>
                <w:noProof/>
                <w:webHidden/>
              </w:rPr>
              <w:tab/>
            </w:r>
            <w:r w:rsidR="00CD4352">
              <w:rPr>
                <w:noProof/>
                <w:webHidden/>
              </w:rPr>
              <w:fldChar w:fldCharType="begin"/>
            </w:r>
            <w:r w:rsidR="00CD4352">
              <w:rPr>
                <w:noProof/>
                <w:webHidden/>
              </w:rPr>
              <w:instrText xml:space="preserve"> PAGEREF _Toc74045016 \h </w:instrText>
            </w:r>
            <w:r w:rsidR="00CD4352">
              <w:rPr>
                <w:noProof/>
                <w:webHidden/>
              </w:rPr>
            </w:r>
            <w:r w:rsidR="00CD4352">
              <w:rPr>
                <w:noProof/>
                <w:webHidden/>
              </w:rPr>
              <w:fldChar w:fldCharType="separate"/>
            </w:r>
            <w:r w:rsidR="00CD4352">
              <w:rPr>
                <w:noProof/>
                <w:webHidden/>
              </w:rPr>
              <w:t>3</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17" w:history="1">
            <w:r w:rsidR="00CD4352" w:rsidRPr="00F83395">
              <w:rPr>
                <w:rStyle w:val="Hipercze"/>
                <w:noProof/>
              </w:rPr>
              <w:t>II. Ochrona danych osoBowych</w:t>
            </w:r>
            <w:r w:rsidR="00CD4352">
              <w:rPr>
                <w:noProof/>
                <w:webHidden/>
              </w:rPr>
              <w:tab/>
            </w:r>
            <w:r w:rsidR="00CD4352">
              <w:rPr>
                <w:noProof/>
                <w:webHidden/>
              </w:rPr>
              <w:fldChar w:fldCharType="begin"/>
            </w:r>
            <w:r w:rsidR="00CD4352">
              <w:rPr>
                <w:noProof/>
                <w:webHidden/>
              </w:rPr>
              <w:instrText xml:space="preserve"> PAGEREF _Toc74045017 \h </w:instrText>
            </w:r>
            <w:r w:rsidR="00CD4352">
              <w:rPr>
                <w:noProof/>
                <w:webHidden/>
              </w:rPr>
            </w:r>
            <w:r w:rsidR="00CD4352">
              <w:rPr>
                <w:noProof/>
                <w:webHidden/>
              </w:rPr>
              <w:fldChar w:fldCharType="separate"/>
            </w:r>
            <w:r w:rsidR="00CD4352">
              <w:rPr>
                <w:noProof/>
                <w:webHidden/>
              </w:rPr>
              <w:t>3</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18" w:history="1">
            <w:r w:rsidR="00CD4352" w:rsidRPr="00F83395">
              <w:rPr>
                <w:rStyle w:val="Hipercze"/>
                <w:noProof/>
              </w:rPr>
              <w:t>III. Tryb udzielenia zamówienia</w:t>
            </w:r>
            <w:r w:rsidR="00CD4352">
              <w:rPr>
                <w:noProof/>
                <w:webHidden/>
              </w:rPr>
              <w:tab/>
            </w:r>
            <w:r w:rsidR="00CD4352">
              <w:rPr>
                <w:noProof/>
                <w:webHidden/>
              </w:rPr>
              <w:fldChar w:fldCharType="begin"/>
            </w:r>
            <w:r w:rsidR="00CD4352">
              <w:rPr>
                <w:noProof/>
                <w:webHidden/>
              </w:rPr>
              <w:instrText xml:space="preserve"> PAGEREF _Toc74045018 \h </w:instrText>
            </w:r>
            <w:r w:rsidR="00CD4352">
              <w:rPr>
                <w:noProof/>
                <w:webHidden/>
              </w:rPr>
            </w:r>
            <w:r w:rsidR="00CD4352">
              <w:rPr>
                <w:noProof/>
                <w:webHidden/>
              </w:rPr>
              <w:fldChar w:fldCharType="separate"/>
            </w:r>
            <w:r w:rsidR="00CD4352">
              <w:rPr>
                <w:noProof/>
                <w:webHidden/>
              </w:rPr>
              <w:t>4</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19" w:history="1">
            <w:r w:rsidR="00CD4352" w:rsidRPr="00F83395">
              <w:rPr>
                <w:rStyle w:val="Hipercze"/>
                <w:rFonts w:eastAsia="Times New Roman"/>
                <w:noProof/>
                <w:lang w:eastAsia="pl-PL"/>
              </w:rPr>
              <w:t>IV. Opis przedmiotu zamówienia</w:t>
            </w:r>
            <w:r w:rsidR="00CD4352">
              <w:rPr>
                <w:noProof/>
                <w:webHidden/>
              </w:rPr>
              <w:tab/>
            </w:r>
            <w:r w:rsidR="00CD4352">
              <w:rPr>
                <w:noProof/>
                <w:webHidden/>
              </w:rPr>
              <w:fldChar w:fldCharType="begin"/>
            </w:r>
            <w:r w:rsidR="00CD4352">
              <w:rPr>
                <w:noProof/>
                <w:webHidden/>
              </w:rPr>
              <w:instrText xml:space="preserve"> PAGEREF _Toc74045019 \h </w:instrText>
            </w:r>
            <w:r w:rsidR="00CD4352">
              <w:rPr>
                <w:noProof/>
                <w:webHidden/>
              </w:rPr>
            </w:r>
            <w:r w:rsidR="00CD4352">
              <w:rPr>
                <w:noProof/>
                <w:webHidden/>
              </w:rPr>
              <w:fldChar w:fldCharType="separate"/>
            </w:r>
            <w:r w:rsidR="00CD4352">
              <w:rPr>
                <w:noProof/>
                <w:webHidden/>
              </w:rPr>
              <w:t>5</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0" w:history="1">
            <w:r w:rsidR="00CD4352" w:rsidRPr="00F83395">
              <w:rPr>
                <w:rStyle w:val="Hipercze"/>
                <w:noProof/>
              </w:rPr>
              <w:t>V. Wizja lokalna</w:t>
            </w:r>
            <w:r w:rsidR="00CD4352">
              <w:rPr>
                <w:noProof/>
                <w:webHidden/>
              </w:rPr>
              <w:tab/>
            </w:r>
            <w:r w:rsidR="00CD4352">
              <w:rPr>
                <w:noProof/>
                <w:webHidden/>
              </w:rPr>
              <w:fldChar w:fldCharType="begin"/>
            </w:r>
            <w:r w:rsidR="00CD4352">
              <w:rPr>
                <w:noProof/>
                <w:webHidden/>
              </w:rPr>
              <w:instrText xml:space="preserve"> PAGEREF _Toc74045020 \h </w:instrText>
            </w:r>
            <w:r w:rsidR="00CD4352">
              <w:rPr>
                <w:noProof/>
                <w:webHidden/>
              </w:rPr>
            </w:r>
            <w:r w:rsidR="00CD4352">
              <w:rPr>
                <w:noProof/>
                <w:webHidden/>
              </w:rPr>
              <w:fldChar w:fldCharType="separate"/>
            </w:r>
            <w:r w:rsidR="00CD4352">
              <w:rPr>
                <w:noProof/>
                <w:webHidden/>
              </w:rPr>
              <w:t>6</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1" w:history="1">
            <w:r w:rsidR="00CD4352" w:rsidRPr="00F83395">
              <w:rPr>
                <w:rStyle w:val="Hipercze"/>
                <w:noProof/>
              </w:rPr>
              <w:t>VI. Podwykonawstwo</w:t>
            </w:r>
            <w:r w:rsidR="00CD4352">
              <w:rPr>
                <w:noProof/>
                <w:webHidden/>
              </w:rPr>
              <w:tab/>
            </w:r>
            <w:r w:rsidR="00CD4352">
              <w:rPr>
                <w:noProof/>
                <w:webHidden/>
              </w:rPr>
              <w:fldChar w:fldCharType="begin"/>
            </w:r>
            <w:r w:rsidR="00CD4352">
              <w:rPr>
                <w:noProof/>
                <w:webHidden/>
              </w:rPr>
              <w:instrText xml:space="preserve"> PAGEREF _Toc74045021 \h </w:instrText>
            </w:r>
            <w:r w:rsidR="00CD4352">
              <w:rPr>
                <w:noProof/>
                <w:webHidden/>
              </w:rPr>
            </w:r>
            <w:r w:rsidR="00CD4352">
              <w:rPr>
                <w:noProof/>
                <w:webHidden/>
              </w:rPr>
              <w:fldChar w:fldCharType="separate"/>
            </w:r>
            <w:r w:rsidR="00CD4352">
              <w:rPr>
                <w:noProof/>
                <w:webHidden/>
              </w:rPr>
              <w:t>6</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2" w:history="1">
            <w:r w:rsidR="00CD4352" w:rsidRPr="00F83395">
              <w:rPr>
                <w:rStyle w:val="Hipercze"/>
                <w:noProof/>
              </w:rPr>
              <w:t>VII. Termin wykonania zamówienia</w:t>
            </w:r>
            <w:r w:rsidR="00CD4352">
              <w:rPr>
                <w:noProof/>
                <w:webHidden/>
              </w:rPr>
              <w:tab/>
            </w:r>
            <w:r w:rsidR="00CD4352">
              <w:rPr>
                <w:noProof/>
                <w:webHidden/>
              </w:rPr>
              <w:fldChar w:fldCharType="begin"/>
            </w:r>
            <w:r w:rsidR="00CD4352">
              <w:rPr>
                <w:noProof/>
                <w:webHidden/>
              </w:rPr>
              <w:instrText xml:space="preserve"> PAGEREF _Toc74045022 \h </w:instrText>
            </w:r>
            <w:r w:rsidR="00CD4352">
              <w:rPr>
                <w:noProof/>
                <w:webHidden/>
              </w:rPr>
            </w:r>
            <w:r w:rsidR="00CD4352">
              <w:rPr>
                <w:noProof/>
                <w:webHidden/>
              </w:rPr>
              <w:fldChar w:fldCharType="separate"/>
            </w:r>
            <w:r w:rsidR="00CD4352">
              <w:rPr>
                <w:noProof/>
                <w:webHidden/>
              </w:rPr>
              <w:t>7</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3" w:history="1">
            <w:r w:rsidR="00CD4352" w:rsidRPr="00F83395">
              <w:rPr>
                <w:rStyle w:val="Hipercze"/>
                <w:noProof/>
              </w:rPr>
              <w:t>VIII. Warunki udziału w postępowaniu</w:t>
            </w:r>
            <w:r w:rsidR="00CD4352">
              <w:rPr>
                <w:noProof/>
                <w:webHidden/>
              </w:rPr>
              <w:tab/>
            </w:r>
            <w:r w:rsidR="00CD4352">
              <w:rPr>
                <w:noProof/>
                <w:webHidden/>
              </w:rPr>
              <w:fldChar w:fldCharType="begin"/>
            </w:r>
            <w:r w:rsidR="00CD4352">
              <w:rPr>
                <w:noProof/>
                <w:webHidden/>
              </w:rPr>
              <w:instrText xml:space="preserve"> PAGEREF _Toc74045023 \h </w:instrText>
            </w:r>
            <w:r w:rsidR="00CD4352">
              <w:rPr>
                <w:noProof/>
                <w:webHidden/>
              </w:rPr>
            </w:r>
            <w:r w:rsidR="00CD4352">
              <w:rPr>
                <w:noProof/>
                <w:webHidden/>
              </w:rPr>
              <w:fldChar w:fldCharType="separate"/>
            </w:r>
            <w:r w:rsidR="00CD4352">
              <w:rPr>
                <w:noProof/>
                <w:webHidden/>
              </w:rPr>
              <w:t>7</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4" w:history="1">
            <w:r w:rsidR="00CD4352" w:rsidRPr="00F83395">
              <w:rPr>
                <w:rStyle w:val="Hipercze"/>
                <w:noProof/>
              </w:rPr>
              <w:t>IX. Podstawy wykluczenia</w:t>
            </w:r>
            <w:r w:rsidR="00CD4352">
              <w:rPr>
                <w:noProof/>
                <w:webHidden/>
              </w:rPr>
              <w:tab/>
            </w:r>
            <w:r w:rsidR="00CD4352">
              <w:rPr>
                <w:noProof/>
                <w:webHidden/>
              </w:rPr>
              <w:fldChar w:fldCharType="begin"/>
            </w:r>
            <w:r w:rsidR="00CD4352">
              <w:rPr>
                <w:noProof/>
                <w:webHidden/>
              </w:rPr>
              <w:instrText xml:space="preserve"> PAGEREF _Toc74045024 \h </w:instrText>
            </w:r>
            <w:r w:rsidR="00CD4352">
              <w:rPr>
                <w:noProof/>
                <w:webHidden/>
              </w:rPr>
            </w:r>
            <w:r w:rsidR="00CD4352">
              <w:rPr>
                <w:noProof/>
                <w:webHidden/>
              </w:rPr>
              <w:fldChar w:fldCharType="separate"/>
            </w:r>
            <w:r w:rsidR="00CD4352">
              <w:rPr>
                <w:noProof/>
                <w:webHidden/>
              </w:rPr>
              <w:t>8</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5" w:history="1">
            <w:r w:rsidR="00CD4352" w:rsidRPr="00F83395">
              <w:rPr>
                <w:rStyle w:val="Hipercze"/>
                <w:noProof/>
              </w:rPr>
              <w:t>X. Oświadczenia i dokumenty, jakie zobowiązani są dostarczyć wykonawcy  w celu potwierdzenia spełnienia warunków udziału w postępowaniu oraz wykazania braku podstaw wykluczenia (podmiotowe środki dowodowe)</w:t>
            </w:r>
            <w:r w:rsidR="00CD4352">
              <w:rPr>
                <w:noProof/>
                <w:webHidden/>
              </w:rPr>
              <w:tab/>
            </w:r>
            <w:r w:rsidR="00CD4352">
              <w:rPr>
                <w:noProof/>
                <w:webHidden/>
              </w:rPr>
              <w:fldChar w:fldCharType="begin"/>
            </w:r>
            <w:r w:rsidR="00CD4352">
              <w:rPr>
                <w:noProof/>
                <w:webHidden/>
              </w:rPr>
              <w:instrText xml:space="preserve"> PAGEREF _Toc74045025 \h </w:instrText>
            </w:r>
            <w:r w:rsidR="00CD4352">
              <w:rPr>
                <w:noProof/>
                <w:webHidden/>
              </w:rPr>
            </w:r>
            <w:r w:rsidR="00CD4352">
              <w:rPr>
                <w:noProof/>
                <w:webHidden/>
              </w:rPr>
              <w:fldChar w:fldCharType="separate"/>
            </w:r>
            <w:r w:rsidR="00CD4352">
              <w:rPr>
                <w:noProof/>
                <w:webHidden/>
              </w:rPr>
              <w:t>8</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6" w:history="1">
            <w:r w:rsidR="00CD4352" w:rsidRPr="00F83395">
              <w:rPr>
                <w:rStyle w:val="Hipercze"/>
                <w:noProof/>
              </w:rPr>
              <w:t>XI. Poleganie na zasobach innych podmiotów</w:t>
            </w:r>
            <w:r w:rsidR="00CD4352">
              <w:rPr>
                <w:noProof/>
                <w:webHidden/>
              </w:rPr>
              <w:tab/>
            </w:r>
            <w:r w:rsidR="00CD4352">
              <w:rPr>
                <w:noProof/>
                <w:webHidden/>
              </w:rPr>
              <w:fldChar w:fldCharType="begin"/>
            </w:r>
            <w:r w:rsidR="00CD4352">
              <w:rPr>
                <w:noProof/>
                <w:webHidden/>
              </w:rPr>
              <w:instrText xml:space="preserve"> PAGEREF _Toc74045026 \h </w:instrText>
            </w:r>
            <w:r w:rsidR="00CD4352">
              <w:rPr>
                <w:noProof/>
                <w:webHidden/>
              </w:rPr>
            </w:r>
            <w:r w:rsidR="00CD4352">
              <w:rPr>
                <w:noProof/>
                <w:webHidden/>
              </w:rPr>
              <w:fldChar w:fldCharType="separate"/>
            </w:r>
            <w:r w:rsidR="00CD4352">
              <w:rPr>
                <w:noProof/>
                <w:webHidden/>
              </w:rPr>
              <w:t>9</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7" w:history="1">
            <w:r w:rsidR="00CD4352" w:rsidRPr="00F83395">
              <w:rPr>
                <w:rStyle w:val="Hipercze"/>
                <w:noProof/>
              </w:rPr>
              <w:t>XII. Informacja dla wykonawców wspólnie ubiegających się o udzielenie zamówienia ( spółki cywilne / konsorcja)</w:t>
            </w:r>
            <w:r w:rsidR="00CD4352">
              <w:rPr>
                <w:noProof/>
                <w:webHidden/>
              </w:rPr>
              <w:tab/>
            </w:r>
            <w:r w:rsidR="00CD4352">
              <w:rPr>
                <w:noProof/>
                <w:webHidden/>
              </w:rPr>
              <w:fldChar w:fldCharType="begin"/>
            </w:r>
            <w:r w:rsidR="00CD4352">
              <w:rPr>
                <w:noProof/>
                <w:webHidden/>
              </w:rPr>
              <w:instrText xml:space="preserve"> PAGEREF _Toc74045027 \h </w:instrText>
            </w:r>
            <w:r w:rsidR="00CD4352">
              <w:rPr>
                <w:noProof/>
                <w:webHidden/>
              </w:rPr>
            </w:r>
            <w:r w:rsidR="00CD4352">
              <w:rPr>
                <w:noProof/>
                <w:webHidden/>
              </w:rPr>
              <w:fldChar w:fldCharType="separate"/>
            </w:r>
            <w:r w:rsidR="00CD4352">
              <w:rPr>
                <w:noProof/>
                <w:webHidden/>
              </w:rPr>
              <w:t>10</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8" w:history="1">
            <w:r w:rsidR="00CD4352" w:rsidRPr="00F83395">
              <w:rPr>
                <w:rStyle w:val="Hipercze"/>
                <w:noProof/>
              </w:rPr>
              <w:t>XIII. Sposób komunikacji oraz wyjaśnienia treści swz</w:t>
            </w:r>
            <w:r w:rsidR="00CD4352">
              <w:rPr>
                <w:noProof/>
                <w:webHidden/>
              </w:rPr>
              <w:tab/>
            </w:r>
            <w:r w:rsidR="00CD4352">
              <w:rPr>
                <w:noProof/>
                <w:webHidden/>
              </w:rPr>
              <w:fldChar w:fldCharType="begin"/>
            </w:r>
            <w:r w:rsidR="00CD4352">
              <w:rPr>
                <w:noProof/>
                <w:webHidden/>
              </w:rPr>
              <w:instrText xml:space="preserve"> PAGEREF _Toc74045028 \h </w:instrText>
            </w:r>
            <w:r w:rsidR="00CD4352">
              <w:rPr>
                <w:noProof/>
                <w:webHidden/>
              </w:rPr>
            </w:r>
            <w:r w:rsidR="00CD4352">
              <w:rPr>
                <w:noProof/>
                <w:webHidden/>
              </w:rPr>
              <w:fldChar w:fldCharType="separate"/>
            </w:r>
            <w:r w:rsidR="00CD4352">
              <w:rPr>
                <w:noProof/>
                <w:webHidden/>
              </w:rPr>
              <w:t>11</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29" w:history="1">
            <w:r w:rsidR="00CD4352" w:rsidRPr="00F83395">
              <w:rPr>
                <w:rStyle w:val="Hipercze"/>
                <w:noProof/>
              </w:rPr>
              <w:t>XIV. Opis sposobu przygotowania ofert oraz wymagania formalne dotyczące skałdanych oświadczeń i dokumentów</w:t>
            </w:r>
            <w:r w:rsidR="00CD4352">
              <w:rPr>
                <w:noProof/>
                <w:webHidden/>
              </w:rPr>
              <w:tab/>
            </w:r>
            <w:r w:rsidR="00CD4352">
              <w:rPr>
                <w:noProof/>
                <w:webHidden/>
              </w:rPr>
              <w:fldChar w:fldCharType="begin"/>
            </w:r>
            <w:r w:rsidR="00CD4352">
              <w:rPr>
                <w:noProof/>
                <w:webHidden/>
              </w:rPr>
              <w:instrText xml:space="preserve"> PAGEREF _Toc74045029 \h </w:instrText>
            </w:r>
            <w:r w:rsidR="00CD4352">
              <w:rPr>
                <w:noProof/>
                <w:webHidden/>
              </w:rPr>
            </w:r>
            <w:r w:rsidR="00CD4352">
              <w:rPr>
                <w:noProof/>
                <w:webHidden/>
              </w:rPr>
              <w:fldChar w:fldCharType="separate"/>
            </w:r>
            <w:r w:rsidR="00CD4352">
              <w:rPr>
                <w:noProof/>
                <w:webHidden/>
              </w:rPr>
              <w:t>14</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0" w:history="1">
            <w:r w:rsidR="00CD4352" w:rsidRPr="00F83395">
              <w:rPr>
                <w:rStyle w:val="Hipercze"/>
                <w:noProof/>
              </w:rPr>
              <w:t>XV. Sposób obliczania ceny oferty</w:t>
            </w:r>
            <w:r w:rsidR="00CD4352">
              <w:rPr>
                <w:noProof/>
                <w:webHidden/>
              </w:rPr>
              <w:tab/>
            </w:r>
            <w:r w:rsidR="00CD4352">
              <w:rPr>
                <w:noProof/>
                <w:webHidden/>
              </w:rPr>
              <w:fldChar w:fldCharType="begin"/>
            </w:r>
            <w:r w:rsidR="00CD4352">
              <w:rPr>
                <w:noProof/>
                <w:webHidden/>
              </w:rPr>
              <w:instrText xml:space="preserve"> PAGEREF _Toc74045030 \h </w:instrText>
            </w:r>
            <w:r w:rsidR="00CD4352">
              <w:rPr>
                <w:noProof/>
                <w:webHidden/>
              </w:rPr>
            </w:r>
            <w:r w:rsidR="00CD4352">
              <w:rPr>
                <w:noProof/>
                <w:webHidden/>
              </w:rPr>
              <w:fldChar w:fldCharType="separate"/>
            </w:r>
            <w:r w:rsidR="00CD4352">
              <w:rPr>
                <w:noProof/>
                <w:webHidden/>
              </w:rPr>
              <w:t>15</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1" w:history="1">
            <w:r w:rsidR="00CD4352" w:rsidRPr="00F83395">
              <w:rPr>
                <w:rStyle w:val="Hipercze"/>
                <w:noProof/>
              </w:rPr>
              <w:t>XVI. Wymagania dotyczące wadium</w:t>
            </w:r>
            <w:r w:rsidR="00CD4352">
              <w:rPr>
                <w:noProof/>
                <w:webHidden/>
              </w:rPr>
              <w:tab/>
            </w:r>
            <w:r w:rsidR="00CD4352">
              <w:rPr>
                <w:noProof/>
                <w:webHidden/>
              </w:rPr>
              <w:fldChar w:fldCharType="begin"/>
            </w:r>
            <w:r w:rsidR="00CD4352">
              <w:rPr>
                <w:noProof/>
                <w:webHidden/>
              </w:rPr>
              <w:instrText xml:space="preserve"> PAGEREF _Toc74045031 \h </w:instrText>
            </w:r>
            <w:r w:rsidR="00CD4352">
              <w:rPr>
                <w:noProof/>
                <w:webHidden/>
              </w:rPr>
            </w:r>
            <w:r w:rsidR="00CD4352">
              <w:rPr>
                <w:noProof/>
                <w:webHidden/>
              </w:rPr>
              <w:fldChar w:fldCharType="separate"/>
            </w:r>
            <w:r w:rsidR="00CD4352">
              <w:rPr>
                <w:noProof/>
                <w:webHidden/>
              </w:rPr>
              <w:t>15</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2" w:history="1">
            <w:r w:rsidR="00CD4352" w:rsidRPr="00F83395">
              <w:rPr>
                <w:rStyle w:val="Hipercze"/>
                <w:noProof/>
              </w:rPr>
              <w:t>XVII. Termin związania ofertą</w:t>
            </w:r>
            <w:r w:rsidR="00CD4352">
              <w:rPr>
                <w:noProof/>
                <w:webHidden/>
              </w:rPr>
              <w:tab/>
            </w:r>
            <w:r w:rsidR="00CD4352">
              <w:rPr>
                <w:noProof/>
                <w:webHidden/>
              </w:rPr>
              <w:fldChar w:fldCharType="begin"/>
            </w:r>
            <w:r w:rsidR="00CD4352">
              <w:rPr>
                <w:noProof/>
                <w:webHidden/>
              </w:rPr>
              <w:instrText xml:space="preserve"> PAGEREF _Toc74045032 \h </w:instrText>
            </w:r>
            <w:r w:rsidR="00CD4352">
              <w:rPr>
                <w:noProof/>
                <w:webHidden/>
              </w:rPr>
            </w:r>
            <w:r w:rsidR="00CD4352">
              <w:rPr>
                <w:noProof/>
                <w:webHidden/>
              </w:rPr>
              <w:fldChar w:fldCharType="separate"/>
            </w:r>
            <w:r w:rsidR="00CD4352">
              <w:rPr>
                <w:noProof/>
                <w:webHidden/>
              </w:rPr>
              <w:t>15</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3" w:history="1">
            <w:r w:rsidR="00CD4352" w:rsidRPr="00F83395">
              <w:rPr>
                <w:rStyle w:val="Hipercze"/>
                <w:noProof/>
              </w:rPr>
              <w:t>XVIII. Sposób i termin składania i otwarcia ofert</w:t>
            </w:r>
            <w:r w:rsidR="00CD4352">
              <w:rPr>
                <w:noProof/>
                <w:webHidden/>
              </w:rPr>
              <w:tab/>
            </w:r>
            <w:r w:rsidR="00CD4352">
              <w:rPr>
                <w:noProof/>
                <w:webHidden/>
              </w:rPr>
              <w:fldChar w:fldCharType="begin"/>
            </w:r>
            <w:r w:rsidR="00CD4352">
              <w:rPr>
                <w:noProof/>
                <w:webHidden/>
              </w:rPr>
              <w:instrText xml:space="preserve"> PAGEREF _Toc74045033 \h </w:instrText>
            </w:r>
            <w:r w:rsidR="00CD4352">
              <w:rPr>
                <w:noProof/>
                <w:webHidden/>
              </w:rPr>
            </w:r>
            <w:r w:rsidR="00CD4352">
              <w:rPr>
                <w:noProof/>
                <w:webHidden/>
              </w:rPr>
              <w:fldChar w:fldCharType="separate"/>
            </w:r>
            <w:r w:rsidR="00CD4352">
              <w:rPr>
                <w:noProof/>
                <w:webHidden/>
              </w:rPr>
              <w:t>16</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4" w:history="1">
            <w:r w:rsidR="00CD4352" w:rsidRPr="00F83395">
              <w:rPr>
                <w:rStyle w:val="Hipercze"/>
                <w:noProof/>
              </w:rPr>
              <w:t>XIX. Opis kryteriów oceny ofert, wraz z podaniem wag tych kryteriów i sposobu oceny ofert</w:t>
            </w:r>
            <w:r w:rsidR="00CD4352">
              <w:rPr>
                <w:noProof/>
                <w:webHidden/>
              </w:rPr>
              <w:tab/>
            </w:r>
            <w:r w:rsidR="00CD4352">
              <w:rPr>
                <w:noProof/>
                <w:webHidden/>
              </w:rPr>
              <w:fldChar w:fldCharType="begin"/>
            </w:r>
            <w:r w:rsidR="00CD4352">
              <w:rPr>
                <w:noProof/>
                <w:webHidden/>
              </w:rPr>
              <w:instrText xml:space="preserve"> PAGEREF _Toc74045034 \h </w:instrText>
            </w:r>
            <w:r w:rsidR="00CD4352">
              <w:rPr>
                <w:noProof/>
                <w:webHidden/>
              </w:rPr>
            </w:r>
            <w:r w:rsidR="00CD4352">
              <w:rPr>
                <w:noProof/>
                <w:webHidden/>
              </w:rPr>
              <w:fldChar w:fldCharType="separate"/>
            </w:r>
            <w:r w:rsidR="00CD4352">
              <w:rPr>
                <w:noProof/>
                <w:webHidden/>
              </w:rPr>
              <w:t>16</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5" w:history="1">
            <w:r w:rsidR="00CD4352" w:rsidRPr="00F83395">
              <w:rPr>
                <w:rStyle w:val="Hipercze"/>
                <w:noProof/>
              </w:rPr>
              <w:t>XX. Informacje o formalnościach, jakie powinny być dopełnione po wyborze oferty w celu zawarcia umowy w sprawie zamówienia publicznego</w:t>
            </w:r>
            <w:r w:rsidR="00CD4352">
              <w:rPr>
                <w:noProof/>
                <w:webHidden/>
              </w:rPr>
              <w:tab/>
            </w:r>
            <w:r w:rsidR="00CD4352">
              <w:rPr>
                <w:noProof/>
                <w:webHidden/>
              </w:rPr>
              <w:fldChar w:fldCharType="begin"/>
            </w:r>
            <w:r w:rsidR="00CD4352">
              <w:rPr>
                <w:noProof/>
                <w:webHidden/>
              </w:rPr>
              <w:instrText xml:space="preserve"> PAGEREF _Toc74045035 \h </w:instrText>
            </w:r>
            <w:r w:rsidR="00CD4352">
              <w:rPr>
                <w:noProof/>
                <w:webHidden/>
              </w:rPr>
            </w:r>
            <w:r w:rsidR="00CD4352">
              <w:rPr>
                <w:noProof/>
                <w:webHidden/>
              </w:rPr>
              <w:fldChar w:fldCharType="separate"/>
            </w:r>
            <w:r w:rsidR="00CD4352">
              <w:rPr>
                <w:noProof/>
                <w:webHidden/>
              </w:rPr>
              <w:t>18</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6" w:history="1">
            <w:r w:rsidR="00CD4352" w:rsidRPr="00F83395">
              <w:rPr>
                <w:rStyle w:val="Hipercze"/>
                <w:noProof/>
              </w:rPr>
              <w:t>XXI. Wymagania dotyczące zabezpieczenia należytego wykonania umowy</w:t>
            </w:r>
            <w:r w:rsidR="00CD4352">
              <w:rPr>
                <w:noProof/>
                <w:webHidden/>
              </w:rPr>
              <w:tab/>
            </w:r>
            <w:r w:rsidR="00CD4352">
              <w:rPr>
                <w:noProof/>
                <w:webHidden/>
              </w:rPr>
              <w:fldChar w:fldCharType="begin"/>
            </w:r>
            <w:r w:rsidR="00CD4352">
              <w:rPr>
                <w:noProof/>
                <w:webHidden/>
              </w:rPr>
              <w:instrText xml:space="preserve"> PAGEREF _Toc74045036 \h </w:instrText>
            </w:r>
            <w:r w:rsidR="00CD4352">
              <w:rPr>
                <w:noProof/>
                <w:webHidden/>
              </w:rPr>
            </w:r>
            <w:r w:rsidR="00CD4352">
              <w:rPr>
                <w:noProof/>
                <w:webHidden/>
              </w:rPr>
              <w:fldChar w:fldCharType="separate"/>
            </w:r>
            <w:r w:rsidR="00CD4352">
              <w:rPr>
                <w:noProof/>
                <w:webHidden/>
              </w:rPr>
              <w:t>18</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7" w:history="1">
            <w:r w:rsidR="00CD4352" w:rsidRPr="00F83395">
              <w:rPr>
                <w:rStyle w:val="Hipercze"/>
                <w:noProof/>
              </w:rPr>
              <w:t>XXII. Informacje o treści zawieranej umowy oraz możliwości jej zmiany</w:t>
            </w:r>
            <w:r w:rsidR="00CD4352">
              <w:rPr>
                <w:noProof/>
                <w:webHidden/>
              </w:rPr>
              <w:tab/>
            </w:r>
            <w:r w:rsidR="00CD4352">
              <w:rPr>
                <w:noProof/>
                <w:webHidden/>
              </w:rPr>
              <w:fldChar w:fldCharType="begin"/>
            </w:r>
            <w:r w:rsidR="00CD4352">
              <w:rPr>
                <w:noProof/>
                <w:webHidden/>
              </w:rPr>
              <w:instrText xml:space="preserve"> PAGEREF _Toc74045037 \h </w:instrText>
            </w:r>
            <w:r w:rsidR="00CD4352">
              <w:rPr>
                <w:noProof/>
                <w:webHidden/>
              </w:rPr>
            </w:r>
            <w:r w:rsidR="00CD4352">
              <w:rPr>
                <w:noProof/>
                <w:webHidden/>
              </w:rPr>
              <w:fldChar w:fldCharType="separate"/>
            </w:r>
            <w:r w:rsidR="00CD4352">
              <w:rPr>
                <w:noProof/>
                <w:webHidden/>
              </w:rPr>
              <w:t>19</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8" w:history="1">
            <w:r w:rsidR="00CD4352" w:rsidRPr="00F83395">
              <w:rPr>
                <w:rStyle w:val="Hipercze"/>
                <w:noProof/>
              </w:rPr>
              <w:t>XXIII. Pouczenie o środkach ochrony prawnej przysługujących wykonawcy</w:t>
            </w:r>
            <w:r w:rsidR="00CD4352">
              <w:rPr>
                <w:noProof/>
                <w:webHidden/>
              </w:rPr>
              <w:tab/>
            </w:r>
            <w:r w:rsidR="00CD4352">
              <w:rPr>
                <w:noProof/>
                <w:webHidden/>
              </w:rPr>
              <w:fldChar w:fldCharType="begin"/>
            </w:r>
            <w:r w:rsidR="00CD4352">
              <w:rPr>
                <w:noProof/>
                <w:webHidden/>
              </w:rPr>
              <w:instrText xml:space="preserve"> PAGEREF _Toc74045038 \h </w:instrText>
            </w:r>
            <w:r w:rsidR="00CD4352">
              <w:rPr>
                <w:noProof/>
                <w:webHidden/>
              </w:rPr>
            </w:r>
            <w:r w:rsidR="00CD4352">
              <w:rPr>
                <w:noProof/>
                <w:webHidden/>
              </w:rPr>
              <w:fldChar w:fldCharType="separate"/>
            </w:r>
            <w:r w:rsidR="00CD4352">
              <w:rPr>
                <w:noProof/>
                <w:webHidden/>
              </w:rPr>
              <w:t>19</w:t>
            </w:r>
            <w:r w:rsidR="00CD4352">
              <w:rPr>
                <w:noProof/>
                <w:webHidden/>
              </w:rPr>
              <w:fldChar w:fldCharType="end"/>
            </w:r>
          </w:hyperlink>
        </w:p>
        <w:p w:rsidR="00CD4352" w:rsidRDefault="00131F80">
          <w:pPr>
            <w:pStyle w:val="Spistreci1"/>
            <w:tabs>
              <w:tab w:val="right" w:leader="dot" w:pos="9062"/>
            </w:tabs>
            <w:rPr>
              <w:noProof/>
              <w:sz w:val="22"/>
              <w:szCs w:val="22"/>
              <w:lang w:eastAsia="pl-PL"/>
            </w:rPr>
          </w:pPr>
          <w:hyperlink w:anchor="_Toc74045039" w:history="1">
            <w:r w:rsidR="00CD4352" w:rsidRPr="00F83395">
              <w:rPr>
                <w:rStyle w:val="Hipercze"/>
                <w:noProof/>
              </w:rPr>
              <w:t>XXIV. Wykaz załączników do SIWZ</w:t>
            </w:r>
            <w:r w:rsidR="00CD4352">
              <w:rPr>
                <w:noProof/>
                <w:webHidden/>
              </w:rPr>
              <w:tab/>
            </w:r>
            <w:r w:rsidR="00CD4352">
              <w:rPr>
                <w:noProof/>
                <w:webHidden/>
              </w:rPr>
              <w:fldChar w:fldCharType="begin"/>
            </w:r>
            <w:r w:rsidR="00CD4352">
              <w:rPr>
                <w:noProof/>
                <w:webHidden/>
              </w:rPr>
              <w:instrText xml:space="preserve"> PAGEREF _Toc74045039 \h </w:instrText>
            </w:r>
            <w:r w:rsidR="00CD4352">
              <w:rPr>
                <w:noProof/>
                <w:webHidden/>
              </w:rPr>
            </w:r>
            <w:r w:rsidR="00CD4352">
              <w:rPr>
                <w:noProof/>
                <w:webHidden/>
              </w:rPr>
              <w:fldChar w:fldCharType="separate"/>
            </w:r>
            <w:r w:rsidR="00CD4352">
              <w:rPr>
                <w:noProof/>
                <w:webHidden/>
              </w:rPr>
              <w:t>20</w:t>
            </w:r>
            <w:r w:rsidR="00CD4352">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74045016"/>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74045017"/>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odbiorcami Pani/Pana danych osobowych będą osoby lub podmioty, którym udostępniona zostanie dokumentacja postępowania w oparciu o art. 74 ustawy pzp.</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pzp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74045018"/>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Szacunkowa wartość przedmiotowego zamówienia nie przekracza progów unijnych o jakich mowa w art. 3 ustawy pzp..</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450236">
      <w:pPr>
        <w:numPr>
          <w:ilvl w:val="0"/>
          <w:numId w:val="6"/>
        </w:numPr>
        <w:spacing w:after="0"/>
        <w:ind w:left="709" w:firstLine="142"/>
        <w:jc w:val="both"/>
      </w:pPr>
      <w:r w:rsidRPr="00450236">
        <w:rPr>
          <w:rFonts w:ascii="Arial" w:eastAsia="Times New Roman" w:hAnsi="Arial" w:cs="Arial"/>
          <w:u w:val="single"/>
          <w:shd w:val="clear" w:color="auto" w:fill="FFFFFF"/>
          <w:lang w:eastAsia="pl-PL"/>
        </w:rPr>
        <w:lastRenderedPageBreak/>
        <w:t>roboty dekarskie, okładziny schodów</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pzp.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007A31AF">
        <w:rPr>
          <w:rFonts w:ascii="Arial" w:eastAsia="Times New Roman" w:hAnsi="Arial" w:cs="Arial"/>
          <w:b/>
          <w:lang w:eastAsia="pl-PL"/>
        </w:rPr>
        <w:t xml:space="preserve"> dopuszcza składania</w:t>
      </w:r>
      <w:r w:rsidRPr="00F23106">
        <w:rPr>
          <w:rFonts w:ascii="Arial" w:eastAsia="Times New Roman" w:hAnsi="Arial" w:cs="Arial"/>
          <w:b/>
          <w:lang w:eastAsia="pl-PL"/>
        </w:rPr>
        <w:t xml:space="preserv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74045019"/>
      <w:r w:rsidRPr="00F23106">
        <w:rPr>
          <w:rFonts w:eastAsia="Times New Roman"/>
          <w:lang w:eastAsia="pl-PL"/>
        </w:rPr>
        <w:t>IV. Opis przedmiotu zamówienia</w:t>
      </w:r>
      <w:bookmarkEnd w:id="4"/>
    </w:p>
    <w:p w:rsidR="00356007" w:rsidRPr="00356007" w:rsidRDefault="00356007" w:rsidP="00A848B9">
      <w:pPr>
        <w:pStyle w:val="Akapitzlist"/>
        <w:numPr>
          <w:ilvl w:val="0"/>
          <w:numId w:val="51"/>
        </w:numPr>
        <w:ind w:left="426"/>
        <w:jc w:val="both"/>
        <w:rPr>
          <w:rFonts w:ascii="Arial" w:eastAsia="Times New Roman" w:hAnsi="Arial" w:cs="Arial"/>
          <w:b/>
          <w:lang w:eastAsia="ar-SA"/>
        </w:rPr>
      </w:pPr>
      <w:r w:rsidRPr="00356007">
        <w:rPr>
          <w:rFonts w:ascii="Arial" w:eastAsia="Times New Roman" w:hAnsi="Arial" w:cs="Arial"/>
          <w:b/>
          <w:lang w:eastAsia="ar-SA"/>
        </w:rPr>
        <w:t>Szczegółowy opis przedmiotu zamówienia:</w:t>
      </w:r>
    </w:p>
    <w:p w:rsidR="004670F0" w:rsidRPr="00165785" w:rsidRDefault="004670F0" w:rsidP="00165785">
      <w:pPr>
        <w:ind w:left="66"/>
        <w:rPr>
          <w:rFonts w:ascii="Arial" w:eastAsia="Times New Roman" w:hAnsi="Arial" w:cs="Arial"/>
          <w:b/>
          <w:lang w:eastAsia="ar-SA"/>
        </w:rPr>
      </w:pPr>
      <w:r w:rsidRPr="00165785">
        <w:rPr>
          <w:rFonts w:ascii="Arial" w:eastAsia="Times New Roman" w:hAnsi="Arial" w:cs="Arial"/>
          <w:lang w:eastAsia="ar-SA"/>
        </w:rPr>
        <w:t xml:space="preserve">Przedmiotem zamówienia jest realizacja robót budowlanych pn.: </w:t>
      </w:r>
      <w:r w:rsidRPr="00165785">
        <w:rPr>
          <w:rFonts w:ascii="Arial" w:eastAsia="Times New Roman" w:hAnsi="Arial" w:cs="Arial"/>
          <w:b/>
          <w:lang w:eastAsia="ar-SA"/>
        </w:rPr>
        <w:t>,, Termomodernizacja budynku przychodni zdrowia w Suszu</w:t>
      </w:r>
      <w:r w:rsidRPr="00165785">
        <w:rPr>
          <w:rFonts w:ascii="Arial" w:eastAsia="Times New Roman" w:hAnsi="Arial" w:cs="Arial"/>
          <w:lang w:eastAsia="ar-SA"/>
        </w:rPr>
        <w:t>. Przedmiot zamówienia nazwany jest w dalszej części Instrukcji dla Wykonawców</w:t>
      </w:r>
      <w:r w:rsidRPr="00165785">
        <w:rPr>
          <w:rFonts w:ascii="Arial" w:eastAsia="Times New Roman" w:hAnsi="Arial" w:cs="Arial"/>
          <w:b/>
          <w:lang w:eastAsia="ar-SA"/>
        </w:rPr>
        <w:t xml:space="preserve"> </w:t>
      </w:r>
      <w:r w:rsidRPr="00165785">
        <w:rPr>
          <w:rFonts w:ascii="Arial" w:eastAsia="Times New Roman" w:hAnsi="Arial" w:cs="Arial"/>
          <w:lang w:eastAsia="ar-SA"/>
        </w:rPr>
        <w:t xml:space="preserve"> „obiektem” lub „przedmiotem zamówienia”.</w:t>
      </w:r>
    </w:p>
    <w:p w:rsidR="004670F0" w:rsidRPr="00796BD5" w:rsidRDefault="004670F0" w:rsidP="00796BD5">
      <w:pPr>
        <w:pStyle w:val="Akapitzlist"/>
        <w:numPr>
          <w:ilvl w:val="0"/>
          <w:numId w:val="51"/>
        </w:numPr>
        <w:ind w:left="426"/>
        <w:rPr>
          <w:rFonts w:ascii="Arial" w:eastAsia="Times New Roman" w:hAnsi="Arial" w:cs="Arial"/>
          <w:b/>
          <w:bCs/>
          <w:u w:val="single"/>
          <w:lang w:eastAsia="ar-SA"/>
        </w:rPr>
      </w:pPr>
      <w:r w:rsidRPr="00796BD5">
        <w:rPr>
          <w:rFonts w:ascii="Arial" w:eastAsia="Times New Roman" w:hAnsi="Arial" w:cs="Arial"/>
          <w:b/>
          <w:bCs/>
          <w:u w:val="single"/>
          <w:lang w:eastAsia="ar-SA"/>
        </w:rPr>
        <w:t>Opis przedmiotu zamówienia :</w:t>
      </w:r>
    </w:p>
    <w:p w:rsidR="004670F0" w:rsidRPr="004670F0" w:rsidRDefault="004670F0" w:rsidP="004670F0">
      <w:pPr>
        <w:pStyle w:val="Akapitzlist"/>
        <w:ind w:left="426"/>
        <w:rPr>
          <w:rFonts w:ascii="Arial" w:eastAsia="Times New Roman" w:hAnsi="Arial" w:cs="Arial"/>
          <w:b/>
          <w:lang w:eastAsia="ar-SA"/>
        </w:rPr>
      </w:pPr>
      <w:r w:rsidRPr="004670F0">
        <w:rPr>
          <w:rFonts w:ascii="Arial" w:eastAsia="Times New Roman" w:hAnsi="Arial" w:cs="Arial"/>
          <w:lang w:eastAsia="ar-SA"/>
        </w:rPr>
        <w:t xml:space="preserve">     </w:t>
      </w:r>
      <w:r w:rsidRPr="004670F0">
        <w:rPr>
          <w:rFonts w:ascii="Arial" w:eastAsia="Times New Roman" w:hAnsi="Arial" w:cs="Arial"/>
          <w:b/>
          <w:lang w:eastAsia="ar-SA"/>
        </w:rPr>
        <w:t>Zakres rzeczowy obejmuje:</w:t>
      </w:r>
    </w:p>
    <w:p w:rsidR="004670F0" w:rsidRPr="004670F0" w:rsidRDefault="004670F0" w:rsidP="004670F0">
      <w:pPr>
        <w:pStyle w:val="Akapitzlist"/>
        <w:ind w:left="426"/>
        <w:rPr>
          <w:rFonts w:ascii="Arial" w:eastAsia="Times New Roman" w:hAnsi="Arial" w:cs="Arial"/>
          <w:b/>
          <w:u w:val="single"/>
          <w:lang w:eastAsia="ar-SA"/>
        </w:rPr>
      </w:pPr>
      <w:bookmarkStart w:id="5" w:name="_Hlk73689150"/>
      <w:r w:rsidRPr="004670F0">
        <w:rPr>
          <w:rFonts w:ascii="Arial" w:eastAsia="Times New Roman" w:hAnsi="Arial" w:cs="Arial"/>
          <w:b/>
          <w:u w:val="single"/>
          <w:lang w:eastAsia="ar-SA"/>
        </w:rPr>
        <w:t>1/  Roboty budowlane</w:t>
      </w:r>
    </w:p>
    <w:p w:rsidR="004670F0" w:rsidRPr="004670F0" w:rsidRDefault="004670F0" w:rsidP="004670F0">
      <w:pPr>
        <w:pStyle w:val="Akapitzlist"/>
        <w:numPr>
          <w:ilvl w:val="1"/>
          <w:numId w:val="57"/>
        </w:numPr>
        <w:ind w:firstLine="66"/>
        <w:rPr>
          <w:rFonts w:ascii="Arial" w:eastAsia="Times New Roman" w:hAnsi="Arial" w:cs="Arial"/>
          <w:bCs/>
          <w:lang w:eastAsia="ar-SA"/>
        </w:rPr>
      </w:pPr>
      <w:r>
        <w:rPr>
          <w:rFonts w:ascii="Arial" w:eastAsia="Times New Roman" w:hAnsi="Arial" w:cs="Arial"/>
          <w:bCs/>
          <w:lang w:eastAsia="ar-SA"/>
        </w:rPr>
        <w:t xml:space="preserve">/   </w:t>
      </w:r>
      <w:r w:rsidRPr="004670F0">
        <w:rPr>
          <w:rFonts w:ascii="Arial" w:eastAsia="Times New Roman" w:hAnsi="Arial" w:cs="Arial"/>
          <w:bCs/>
          <w:lang w:eastAsia="ar-SA"/>
        </w:rPr>
        <w:t>Roboty przygotowawcze</w:t>
      </w:r>
    </w:p>
    <w:p w:rsidR="004670F0" w:rsidRPr="004670F0" w:rsidRDefault="004670F0" w:rsidP="004670F0">
      <w:pPr>
        <w:pStyle w:val="Akapitzlist"/>
        <w:numPr>
          <w:ilvl w:val="1"/>
          <w:numId w:val="57"/>
        </w:numPr>
        <w:ind w:firstLine="66"/>
        <w:rPr>
          <w:rFonts w:ascii="Arial" w:eastAsia="Times New Roman" w:hAnsi="Arial" w:cs="Arial"/>
          <w:bCs/>
          <w:lang w:eastAsia="ar-SA"/>
        </w:rPr>
      </w:pPr>
      <w:r>
        <w:rPr>
          <w:rFonts w:ascii="Arial" w:eastAsia="Times New Roman" w:hAnsi="Arial" w:cs="Arial"/>
          <w:bCs/>
          <w:lang w:eastAsia="ar-SA"/>
        </w:rPr>
        <w:t xml:space="preserve">/   </w:t>
      </w:r>
      <w:r w:rsidRPr="004670F0">
        <w:rPr>
          <w:rFonts w:ascii="Arial" w:eastAsia="Times New Roman" w:hAnsi="Arial" w:cs="Arial"/>
          <w:bCs/>
          <w:lang w:eastAsia="ar-SA"/>
        </w:rPr>
        <w:t>Roboty r</w:t>
      </w:r>
      <w:r w:rsidR="00165785">
        <w:rPr>
          <w:rFonts w:ascii="Arial" w:eastAsia="Times New Roman" w:hAnsi="Arial" w:cs="Arial"/>
          <w:bCs/>
          <w:lang w:eastAsia="ar-SA"/>
        </w:rPr>
        <w:t>ozbiórkowe / elementów elewacji</w:t>
      </w:r>
    </w:p>
    <w:p w:rsidR="004670F0" w:rsidRPr="004670F0" w:rsidRDefault="004670F0" w:rsidP="004670F0">
      <w:pPr>
        <w:pStyle w:val="Akapitzlist"/>
        <w:numPr>
          <w:ilvl w:val="1"/>
          <w:numId w:val="57"/>
        </w:numPr>
        <w:ind w:firstLine="66"/>
        <w:rPr>
          <w:rFonts w:ascii="Arial" w:eastAsia="Times New Roman" w:hAnsi="Arial" w:cs="Arial"/>
          <w:bCs/>
          <w:lang w:eastAsia="ar-SA"/>
        </w:rPr>
      </w:pPr>
      <w:r>
        <w:rPr>
          <w:rFonts w:ascii="Arial" w:eastAsia="Times New Roman" w:hAnsi="Arial" w:cs="Arial"/>
          <w:bCs/>
          <w:lang w:eastAsia="ar-SA"/>
        </w:rPr>
        <w:t xml:space="preserve">/   </w:t>
      </w:r>
      <w:r w:rsidRPr="004670F0">
        <w:rPr>
          <w:rFonts w:ascii="Arial" w:eastAsia="Times New Roman" w:hAnsi="Arial" w:cs="Arial"/>
          <w:bCs/>
          <w:lang w:eastAsia="ar-SA"/>
        </w:rPr>
        <w:t>Rozbiórka schodów</w:t>
      </w:r>
    </w:p>
    <w:p w:rsidR="004670F0" w:rsidRPr="004670F0" w:rsidRDefault="004670F0" w:rsidP="004670F0">
      <w:pPr>
        <w:pStyle w:val="Akapitzlist"/>
        <w:numPr>
          <w:ilvl w:val="1"/>
          <w:numId w:val="57"/>
        </w:numPr>
        <w:ind w:firstLine="66"/>
        <w:rPr>
          <w:rFonts w:ascii="Arial" w:eastAsia="Times New Roman" w:hAnsi="Arial" w:cs="Arial"/>
          <w:bCs/>
          <w:lang w:eastAsia="ar-SA"/>
        </w:rPr>
      </w:pPr>
      <w:r>
        <w:rPr>
          <w:rFonts w:ascii="Arial" w:eastAsia="Times New Roman" w:hAnsi="Arial" w:cs="Arial"/>
          <w:bCs/>
          <w:lang w:eastAsia="ar-SA"/>
        </w:rPr>
        <w:t xml:space="preserve">/   </w:t>
      </w:r>
      <w:r w:rsidRPr="004670F0">
        <w:rPr>
          <w:rFonts w:ascii="Arial" w:eastAsia="Times New Roman" w:hAnsi="Arial" w:cs="Arial"/>
          <w:bCs/>
          <w:lang w:eastAsia="ar-SA"/>
        </w:rPr>
        <w:t xml:space="preserve">Demontaż i montaż balustrad </w:t>
      </w:r>
    </w:p>
    <w:p w:rsidR="004670F0" w:rsidRPr="004670F0" w:rsidRDefault="004670F0" w:rsidP="004670F0">
      <w:pPr>
        <w:pStyle w:val="Akapitzlist"/>
        <w:numPr>
          <w:ilvl w:val="1"/>
          <w:numId w:val="57"/>
        </w:numPr>
        <w:ind w:firstLine="66"/>
        <w:rPr>
          <w:rFonts w:ascii="Arial" w:eastAsia="Times New Roman" w:hAnsi="Arial" w:cs="Arial"/>
          <w:bCs/>
          <w:lang w:eastAsia="ar-SA"/>
        </w:rPr>
      </w:pPr>
      <w:r>
        <w:rPr>
          <w:rFonts w:ascii="Arial" w:eastAsia="Times New Roman" w:hAnsi="Arial" w:cs="Arial"/>
          <w:bCs/>
          <w:lang w:eastAsia="ar-SA"/>
        </w:rPr>
        <w:t xml:space="preserve">/   </w:t>
      </w:r>
      <w:r w:rsidRPr="004670F0">
        <w:rPr>
          <w:rFonts w:ascii="Arial" w:eastAsia="Times New Roman" w:hAnsi="Arial" w:cs="Arial"/>
          <w:bCs/>
          <w:lang w:eastAsia="ar-SA"/>
        </w:rPr>
        <w:t xml:space="preserve">Wykonanie biegów schodowych z okładziną z płytek granit </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1.6</w:t>
      </w:r>
      <w:r>
        <w:rPr>
          <w:rFonts w:ascii="Arial" w:eastAsia="Times New Roman" w:hAnsi="Arial" w:cs="Arial"/>
          <w:bCs/>
          <w:lang w:eastAsia="ar-SA"/>
        </w:rPr>
        <w:t xml:space="preserve">/ </w:t>
      </w:r>
      <w:r w:rsidRPr="004670F0">
        <w:rPr>
          <w:rFonts w:ascii="Arial" w:eastAsia="Times New Roman" w:hAnsi="Arial" w:cs="Arial"/>
          <w:bCs/>
          <w:lang w:eastAsia="ar-SA"/>
        </w:rPr>
        <w:t xml:space="preserve"> </w:t>
      </w:r>
      <w:r>
        <w:rPr>
          <w:rFonts w:ascii="Arial" w:eastAsia="Times New Roman" w:hAnsi="Arial" w:cs="Arial"/>
          <w:bCs/>
          <w:lang w:eastAsia="ar-SA"/>
        </w:rPr>
        <w:t xml:space="preserve"> </w:t>
      </w:r>
      <w:r w:rsidRPr="004670F0">
        <w:rPr>
          <w:rFonts w:ascii="Arial" w:eastAsia="Times New Roman" w:hAnsi="Arial" w:cs="Arial"/>
          <w:bCs/>
          <w:lang w:eastAsia="ar-SA"/>
        </w:rPr>
        <w:t xml:space="preserve">Docieplenie ścian zewnętrznych z wyprawą tynkarską </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1.7</w:t>
      </w:r>
      <w:r>
        <w:rPr>
          <w:rFonts w:ascii="Arial" w:eastAsia="Times New Roman" w:hAnsi="Arial" w:cs="Arial"/>
          <w:bCs/>
          <w:lang w:eastAsia="ar-SA"/>
        </w:rPr>
        <w:t xml:space="preserve">/ </w:t>
      </w:r>
      <w:r w:rsidRPr="004670F0">
        <w:rPr>
          <w:rFonts w:ascii="Arial" w:eastAsia="Times New Roman" w:hAnsi="Arial" w:cs="Arial"/>
          <w:bCs/>
          <w:lang w:eastAsia="ar-SA"/>
        </w:rPr>
        <w:t xml:space="preserve"> </w:t>
      </w:r>
      <w:r>
        <w:rPr>
          <w:rFonts w:ascii="Arial" w:eastAsia="Times New Roman" w:hAnsi="Arial" w:cs="Arial"/>
          <w:bCs/>
          <w:lang w:eastAsia="ar-SA"/>
        </w:rPr>
        <w:t xml:space="preserve"> </w:t>
      </w:r>
      <w:r w:rsidRPr="004670F0">
        <w:rPr>
          <w:rFonts w:ascii="Arial" w:eastAsia="Times New Roman" w:hAnsi="Arial" w:cs="Arial"/>
          <w:bCs/>
          <w:lang w:eastAsia="ar-SA"/>
        </w:rPr>
        <w:t>Demontaż i montaż  parapetów blaszanych powlekanych</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1.8</w:t>
      </w:r>
      <w:r>
        <w:rPr>
          <w:rFonts w:ascii="Arial" w:eastAsia="Times New Roman" w:hAnsi="Arial" w:cs="Arial"/>
          <w:bCs/>
          <w:lang w:eastAsia="ar-SA"/>
        </w:rPr>
        <w:t xml:space="preserve">/ </w:t>
      </w:r>
      <w:r w:rsidRPr="004670F0">
        <w:rPr>
          <w:rFonts w:ascii="Arial" w:eastAsia="Times New Roman" w:hAnsi="Arial" w:cs="Arial"/>
          <w:bCs/>
          <w:lang w:eastAsia="ar-SA"/>
        </w:rPr>
        <w:t xml:space="preserve"> </w:t>
      </w:r>
      <w:r>
        <w:rPr>
          <w:rFonts w:ascii="Arial" w:eastAsia="Times New Roman" w:hAnsi="Arial" w:cs="Arial"/>
          <w:bCs/>
          <w:lang w:eastAsia="ar-SA"/>
        </w:rPr>
        <w:t xml:space="preserve"> </w:t>
      </w:r>
      <w:r w:rsidRPr="004670F0">
        <w:rPr>
          <w:rFonts w:ascii="Arial" w:eastAsia="Times New Roman" w:hAnsi="Arial" w:cs="Arial"/>
          <w:bCs/>
          <w:lang w:eastAsia="ar-SA"/>
        </w:rPr>
        <w:t>Pokrycie zadaszeń papą termozgrzewalną</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1.9</w:t>
      </w:r>
      <w:r>
        <w:rPr>
          <w:rFonts w:ascii="Arial" w:eastAsia="Times New Roman" w:hAnsi="Arial" w:cs="Arial"/>
          <w:bCs/>
          <w:lang w:eastAsia="ar-SA"/>
        </w:rPr>
        <w:t xml:space="preserve">/ </w:t>
      </w:r>
      <w:r w:rsidRPr="004670F0">
        <w:rPr>
          <w:rFonts w:ascii="Arial" w:eastAsia="Times New Roman" w:hAnsi="Arial" w:cs="Arial"/>
          <w:bCs/>
          <w:lang w:eastAsia="ar-SA"/>
        </w:rPr>
        <w:t xml:space="preserve"> </w:t>
      </w:r>
      <w:r>
        <w:rPr>
          <w:rFonts w:ascii="Arial" w:eastAsia="Times New Roman" w:hAnsi="Arial" w:cs="Arial"/>
          <w:bCs/>
          <w:lang w:eastAsia="ar-SA"/>
        </w:rPr>
        <w:t xml:space="preserve"> </w:t>
      </w:r>
      <w:r w:rsidRPr="004670F0">
        <w:rPr>
          <w:rFonts w:ascii="Arial" w:eastAsia="Times New Roman" w:hAnsi="Arial" w:cs="Arial"/>
          <w:bCs/>
          <w:lang w:eastAsia="ar-SA"/>
        </w:rPr>
        <w:t>Obróbki blacharskie</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1.10</w:t>
      </w:r>
      <w:r>
        <w:rPr>
          <w:rFonts w:ascii="Arial" w:eastAsia="Times New Roman" w:hAnsi="Arial" w:cs="Arial"/>
          <w:bCs/>
          <w:lang w:eastAsia="ar-SA"/>
        </w:rPr>
        <w:t>/</w:t>
      </w:r>
      <w:r w:rsidRPr="004670F0">
        <w:rPr>
          <w:rFonts w:ascii="Arial" w:eastAsia="Times New Roman" w:hAnsi="Arial" w:cs="Arial"/>
          <w:bCs/>
          <w:lang w:eastAsia="ar-SA"/>
        </w:rPr>
        <w:t xml:space="preserve"> Opaska wokół budynku z kostki betonowej </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1.11</w:t>
      </w:r>
      <w:r>
        <w:rPr>
          <w:rFonts w:ascii="Arial" w:eastAsia="Times New Roman" w:hAnsi="Arial" w:cs="Arial"/>
          <w:bCs/>
          <w:lang w:eastAsia="ar-SA"/>
        </w:rPr>
        <w:t xml:space="preserve">/ </w:t>
      </w:r>
      <w:r w:rsidRPr="004670F0">
        <w:rPr>
          <w:rFonts w:ascii="Arial" w:eastAsia="Times New Roman" w:hAnsi="Arial" w:cs="Arial"/>
          <w:bCs/>
          <w:lang w:eastAsia="ar-SA"/>
        </w:rPr>
        <w:t xml:space="preserve">Demontaż i montaż stolarki okiennej profil PCV </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1.12</w:t>
      </w:r>
      <w:r>
        <w:rPr>
          <w:rFonts w:ascii="Arial" w:eastAsia="Times New Roman" w:hAnsi="Arial" w:cs="Arial"/>
          <w:bCs/>
          <w:lang w:eastAsia="ar-SA"/>
        </w:rPr>
        <w:t xml:space="preserve">/ </w:t>
      </w:r>
      <w:r w:rsidRPr="004670F0">
        <w:rPr>
          <w:rFonts w:ascii="Arial" w:eastAsia="Times New Roman" w:hAnsi="Arial" w:cs="Arial"/>
          <w:bCs/>
          <w:lang w:eastAsia="ar-SA"/>
        </w:rPr>
        <w:t xml:space="preserve">Demontaż i montaż stolarki drzwiowej zewnętrznej profil ALU </w:t>
      </w:r>
    </w:p>
    <w:p w:rsidR="004670F0" w:rsidRPr="004670F0" w:rsidRDefault="004670F0" w:rsidP="004670F0">
      <w:pPr>
        <w:pStyle w:val="Akapitzlist"/>
        <w:ind w:left="426"/>
        <w:rPr>
          <w:rFonts w:ascii="Arial" w:eastAsia="Times New Roman" w:hAnsi="Arial" w:cs="Arial"/>
          <w:bCs/>
          <w:lang w:eastAsia="ar-SA"/>
        </w:rPr>
      </w:pPr>
      <w:r w:rsidRPr="004670F0">
        <w:rPr>
          <w:rFonts w:ascii="Arial" w:eastAsia="Times New Roman" w:hAnsi="Arial" w:cs="Arial"/>
          <w:bCs/>
          <w:lang w:eastAsia="ar-SA"/>
        </w:rPr>
        <w:t>1.13</w:t>
      </w:r>
      <w:r>
        <w:rPr>
          <w:rFonts w:ascii="Arial" w:eastAsia="Times New Roman" w:hAnsi="Arial" w:cs="Arial"/>
          <w:bCs/>
          <w:lang w:eastAsia="ar-SA"/>
        </w:rPr>
        <w:t xml:space="preserve">/ </w:t>
      </w:r>
      <w:r w:rsidRPr="004670F0">
        <w:rPr>
          <w:rFonts w:ascii="Arial" w:eastAsia="Times New Roman" w:hAnsi="Arial" w:cs="Arial"/>
          <w:bCs/>
          <w:lang w:eastAsia="ar-SA"/>
        </w:rPr>
        <w:t>Roboty uzupełniające</w:t>
      </w:r>
    </w:p>
    <w:bookmarkEnd w:id="5"/>
    <w:p w:rsidR="003B7E8B" w:rsidRPr="00F23106" w:rsidRDefault="003B7E8B" w:rsidP="00C02E9F">
      <w:pPr>
        <w:pStyle w:val="Style1"/>
        <w:numPr>
          <w:ilvl w:val="0"/>
          <w:numId w:val="51"/>
        </w:numPr>
        <w:ind w:left="426"/>
        <w:jc w:val="both"/>
        <w:rPr>
          <w:rFonts w:ascii="Arial" w:hAnsi="Arial" w:cs="Arial"/>
          <w:sz w:val="20"/>
          <w:szCs w:val="20"/>
          <w:lang w:eastAsia="ar-SA"/>
        </w:rPr>
      </w:pPr>
      <w:r w:rsidRPr="00F23106">
        <w:rPr>
          <w:rFonts w:ascii="Arial" w:hAnsi="Arial" w:cs="Arial"/>
          <w:sz w:val="20"/>
          <w:szCs w:val="20"/>
          <w:lang w:eastAsia="ar-SA"/>
        </w:rPr>
        <w:t>Kody dotyczące przedmiotu zamówienia określone we Wspólnym Słowniku Zamówień</w:t>
      </w:r>
      <w:r w:rsidR="008D5A84">
        <w:rPr>
          <w:rFonts w:ascii="Arial" w:hAnsi="Arial" w:cs="Arial"/>
          <w:sz w:val="20"/>
          <w:szCs w:val="20"/>
          <w:lang w:eastAsia="ar-SA"/>
        </w:rPr>
        <w:t xml:space="preserve"> CVP</w:t>
      </w:r>
      <w:r w:rsidRPr="00F23106">
        <w:rPr>
          <w:rFonts w:ascii="Arial" w:hAnsi="Arial" w:cs="Arial"/>
          <w:sz w:val="20"/>
          <w:szCs w:val="20"/>
          <w:lang w:eastAsia="ar-SA"/>
        </w:rPr>
        <w:t xml:space="preserve">: </w:t>
      </w:r>
    </w:p>
    <w:p w:rsidR="00F15453" w:rsidRPr="00F15453" w:rsidRDefault="00F15453" w:rsidP="00F15453">
      <w:pPr>
        <w:pStyle w:val="Style1"/>
        <w:ind w:left="720"/>
        <w:jc w:val="both"/>
        <w:rPr>
          <w:rFonts w:ascii="Arial" w:eastAsiaTheme="minorEastAsia" w:hAnsi="Arial" w:cs="Arial"/>
          <w:b/>
          <w:sz w:val="20"/>
          <w:szCs w:val="20"/>
          <w:lang w:eastAsia="en-US" w:bidi="ar-SA"/>
        </w:rPr>
      </w:pPr>
      <w:r w:rsidRPr="00F15453">
        <w:rPr>
          <w:rFonts w:ascii="Arial" w:eastAsiaTheme="minorEastAsia" w:hAnsi="Arial" w:cs="Arial"/>
          <w:b/>
          <w:sz w:val="20"/>
          <w:szCs w:val="20"/>
          <w:lang w:eastAsia="en-US" w:bidi="ar-SA"/>
        </w:rPr>
        <w:t>45.44.30.00</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4 – Roboty elewacyjne,</w:t>
      </w:r>
    </w:p>
    <w:p w:rsidR="00F15453" w:rsidRPr="00F15453" w:rsidRDefault="00F15453" w:rsidP="00F15453">
      <w:pPr>
        <w:pStyle w:val="Style1"/>
        <w:ind w:left="720"/>
        <w:jc w:val="both"/>
        <w:rPr>
          <w:rFonts w:ascii="Arial" w:eastAsiaTheme="minorEastAsia" w:hAnsi="Arial" w:cs="Arial"/>
          <w:b/>
          <w:sz w:val="20"/>
          <w:szCs w:val="20"/>
          <w:lang w:eastAsia="en-US" w:bidi="ar-SA"/>
        </w:rPr>
      </w:pPr>
      <w:r w:rsidRPr="00F15453">
        <w:rPr>
          <w:rFonts w:ascii="Arial" w:eastAsiaTheme="minorEastAsia" w:hAnsi="Arial" w:cs="Arial"/>
          <w:b/>
          <w:sz w:val="20"/>
          <w:szCs w:val="20"/>
          <w:lang w:eastAsia="en-US" w:bidi="ar-SA"/>
        </w:rPr>
        <w:t>45</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26</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23</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10</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 xml:space="preserve">7-  </w:t>
      </w:r>
      <w:r w:rsidR="008307FA">
        <w:rPr>
          <w:rFonts w:ascii="Arial" w:eastAsiaTheme="minorEastAsia" w:hAnsi="Arial" w:cs="Arial"/>
          <w:b/>
          <w:sz w:val="20"/>
          <w:szCs w:val="20"/>
          <w:lang w:eastAsia="en-US" w:bidi="ar-SA"/>
        </w:rPr>
        <w:t>Zbrojenie</w:t>
      </w:r>
      <w:r w:rsidRPr="00F15453">
        <w:rPr>
          <w:rFonts w:ascii="Arial" w:eastAsiaTheme="minorEastAsia" w:hAnsi="Arial" w:cs="Arial"/>
          <w:b/>
          <w:sz w:val="20"/>
          <w:szCs w:val="20"/>
          <w:lang w:eastAsia="en-US" w:bidi="ar-SA"/>
        </w:rPr>
        <w:t>,</w:t>
      </w:r>
    </w:p>
    <w:p w:rsidR="00F15453" w:rsidRPr="00F15453" w:rsidRDefault="00F15453" w:rsidP="00F15453">
      <w:pPr>
        <w:pStyle w:val="Style1"/>
        <w:ind w:left="720"/>
        <w:jc w:val="both"/>
        <w:rPr>
          <w:rFonts w:ascii="Arial" w:eastAsiaTheme="minorEastAsia" w:hAnsi="Arial" w:cs="Arial"/>
          <w:b/>
          <w:sz w:val="20"/>
          <w:szCs w:val="20"/>
          <w:lang w:eastAsia="en-US" w:bidi="ar-SA"/>
        </w:rPr>
      </w:pPr>
      <w:r w:rsidRPr="00F15453">
        <w:rPr>
          <w:rFonts w:ascii="Arial" w:eastAsiaTheme="minorEastAsia" w:hAnsi="Arial" w:cs="Arial"/>
          <w:b/>
          <w:sz w:val="20"/>
          <w:szCs w:val="20"/>
          <w:lang w:eastAsia="en-US" w:bidi="ar-SA"/>
        </w:rPr>
        <w:t>45</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23</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32</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60</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9 -  Nawierzchnie z kostki betonowej,</w:t>
      </w:r>
    </w:p>
    <w:p w:rsidR="00C02E9F" w:rsidRDefault="00F15453" w:rsidP="00C02E9F">
      <w:pPr>
        <w:pStyle w:val="Style1"/>
        <w:spacing w:line="276" w:lineRule="auto"/>
        <w:ind w:left="720"/>
        <w:jc w:val="both"/>
        <w:rPr>
          <w:rFonts w:ascii="Arial" w:eastAsiaTheme="minorEastAsia" w:hAnsi="Arial" w:cs="Arial"/>
          <w:b/>
          <w:sz w:val="20"/>
          <w:szCs w:val="20"/>
          <w:lang w:eastAsia="en-US" w:bidi="ar-SA"/>
        </w:rPr>
      </w:pPr>
      <w:r w:rsidRPr="00F15453">
        <w:rPr>
          <w:rFonts w:ascii="Arial" w:eastAsiaTheme="minorEastAsia" w:hAnsi="Arial" w:cs="Arial"/>
          <w:b/>
          <w:sz w:val="20"/>
          <w:szCs w:val="20"/>
          <w:lang w:eastAsia="en-US" w:bidi="ar-SA"/>
        </w:rPr>
        <w:t>44</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22</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10</w:t>
      </w:r>
      <w:r w:rsidR="00C02E9F">
        <w:rPr>
          <w:rFonts w:ascii="Arial" w:eastAsiaTheme="minorEastAsia" w:hAnsi="Arial" w:cs="Arial"/>
          <w:b/>
          <w:sz w:val="20"/>
          <w:szCs w:val="20"/>
          <w:lang w:eastAsia="en-US" w:bidi="ar-SA"/>
        </w:rPr>
        <w:t>.</w:t>
      </w:r>
      <w:r w:rsidRPr="00F15453">
        <w:rPr>
          <w:rFonts w:ascii="Arial" w:eastAsiaTheme="minorEastAsia" w:hAnsi="Arial" w:cs="Arial"/>
          <w:b/>
          <w:sz w:val="20"/>
          <w:szCs w:val="20"/>
          <w:lang w:eastAsia="en-US" w:bidi="ar-SA"/>
        </w:rPr>
        <w:t>00 -</w:t>
      </w:r>
      <w:r w:rsidR="00C02E9F">
        <w:rPr>
          <w:rFonts w:ascii="Arial" w:eastAsiaTheme="minorEastAsia" w:hAnsi="Arial" w:cs="Arial"/>
          <w:b/>
          <w:sz w:val="20"/>
          <w:szCs w:val="20"/>
          <w:lang w:eastAsia="en-US" w:bidi="ar-SA"/>
        </w:rPr>
        <w:t xml:space="preserve"> </w:t>
      </w:r>
      <w:r w:rsidRPr="00F15453">
        <w:rPr>
          <w:rFonts w:ascii="Arial" w:eastAsiaTheme="minorEastAsia" w:hAnsi="Arial" w:cs="Arial"/>
          <w:b/>
          <w:sz w:val="20"/>
          <w:szCs w:val="20"/>
          <w:lang w:eastAsia="en-US" w:bidi="ar-SA"/>
        </w:rPr>
        <w:t>5 -  Okna drzwi i podobne elementy</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F23106">
        <w:rPr>
          <w:rFonts w:ascii="Arial" w:hAnsi="Arial" w:cs="Arial"/>
          <w:sz w:val="20"/>
          <w:szCs w:val="20"/>
          <w:lang w:eastAsia="ar-SA"/>
        </w:rPr>
        <w:t>Szczegółowy opis przedmiotu zamówienia w niniejszym postępowaniu został zawarty w</w:t>
      </w:r>
      <w:r w:rsidR="006715EF" w:rsidRPr="00F23106">
        <w:rPr>
          <w:rFonts w:ascii="Arial" w:hAnsi="Arial" w:cs="Arial"/>
          <w:sz w:val="20"/>
          <w:szCs w:val="20"/>
          <w:lang w:eastAsia="ar-SA"/>
        </w:rPr>
        <w:t xml:space="preserve"> </w:t>
      </w:r>
      <w:r w:rsidR="00C0690E">
        <w:rPr>
          <w:rFonts w:ascii="Arial" w:hAnsi="Arial" w:cs="Arial"/>
          <w:sz w:val="20"/>
          <w:szCs w:val="20"/>
          <w:lang w:eastAsia="ar-SA"/>
        </w:rPr>
        <w:t xml:space="preserve">dokumentacji projektowej, </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w:t>
      </w:r>
      <w:r w:rsidR="00C0690E">
        <w:rPr>
          <w:rFonts w:ascii="Arial" w:hAnsi="Arial" w:cs="Arial"/>
          <w:sz w:val="20"/>
          <w:szCs w:val="20"/>
          <w:lang w:eastAsia="ar-SA"/>
        </w:rPr>
        <w:t>i</w:t>
      </w:r>
      <w:r w:rsidRPr="00F23106">
        <w:rPr>
          <w:rFonts w:ascii="Arial" w:hAnsi="Arial" w:cs="Arial"/>
          <w:sz w:val="20"/>
          <w:szCs w:val="20"/>
          <w:lang w:eastAsia="ar-SA"/>
        </w:rPr>
        <w:t xml:space="preserve"> </w:t>
      </w:r>
      <w:r w:rsidR="00C0690E" w:rsidRPr="00F23106">
        <w:rPr>
          <w:rFonts w:ascii="Arial" w:hAnsi="Arial" w:cs="Arial"/>
          <w:sz w:val="20"/>
          <w:szCs w:val="20"/>
          <w:lang w:eastAsia="ar-SA"/>
        </w:rPr>
        <w:t>Techniczne</w:t>
      </w:r>
      <w:r w:rsidR="00C0690E">
        <w:rPr>
          <w:rFonts w:ascii="Arial" w:hAnsi="Arial" w:cs="Arial"/>
          <w:sz w:val="20"/>
          <w:szCs w:val="20"/>
          <w:lang w:eastAsia="ar-SA"/>
        </w:rPr>
        <w:t>j</w:t>
      </w:r>
      <w:r w:rsidRPr="00F23106">
        <w:rPr>
          <w:rFonts w:ascii="Arial" w:hAnsi="Arial" w:cs="Arial"/>
          <w:sz w:val="20"/>
          <w:szCs w:val="20"/>
          <w:lang w:eastAsia="ar-SA"/>
        </w:rPr>
        <w:t xml:space="preserve"> Wykonania i Odbioru Robót Budowlanych (STWiORB), SWZ oraz wzorze umowy.</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t>Wykonawca wykona przedmiot zamówienia na podstawie</w:t>
      </w:r>
      <w:r w:rsidR="007A31AF" w:rsidRPr="00C02E9F">
        <w:rPr>
          <w:rFonts w:ascii="Arial" w:hAnsi="Arial" w:cs="Arial"/>
          <w:sz w:val="20"/>
          <w:szCs w:val="20"/>
          <w:lang w:eastAsia="ar-SA"/>
        </w:rPr>
        <w:t xml:space="preserve"> dokumentacji projektowej,</w:t>
      </w:r>
      <w:r w:rsidR="00856863" w:rsidRPr="00C02E9F">
        <w:rPr>
          <w:rFonts w:ascii="Arial" w:hAnsi="Arial" w:cs="Arial"/>
          <w:sz w:val="20"/>
          <w:szCs w:val="20"/>
          <w:lang w:eastAsia="ar-SA"/>
        </w:rPr>
        <w:t xml:space="preserve"> specyfikacji technicznych wykonania i odbioru robót budowlanych</w:t>
      </w:r>
      <w:r w:rsidRPr="00C02E9F">
        <w:rPr>
          <w:rFonts w:ascii="Arial" w:hAnsi="Arial" w:cs="Arial"/>
          <w:sz w:val="20"/>
          <w:szCs w:val="20"/>
          <w:lang w:eastAsia="ar-SA"/>
        </w:rPr>
        <w:t xml:space="preserve">, ustaleń ze SWZ, </w:t>
      </w:r>
      <w:r w:rsidR="00856863" w:rsidRPr="00C02E9F">
        <w:rPr>
          <w:rFonts w:ascii="Arial" w:hAnsi="Arial" w:cs="Arial"/>
          <w:sz w:val="20"/>
          <w:szCs w:val="20"/>
          <w:lang w:eastAsia="ar-SA"/>
        </w:rPr>
        <w:t xml:space="preserve">zgodnie </w:t>
      </w:r>
      <w:r w:rsidRPr="00C02E9F">
        <w:rPr>
          <w:rFonts w:ascii="Arial" w:hAnsi="Arial" w:cs="Arial"/>
          <w:sz w:val="20"/>
          <w:szCs w:val="20"/>
          <w:lang w:eastAsia="ar-SA"/>
        </w:rPr>
        <w:t xml:space="preserve">obowiązującymi przepisami szczegółowymi i sztuką budowlaną oraz </w:t>
      </w:r>
      <w:r w:rsidR="00856863" w:rsidRPr="00C02E9F">
        <w:rPr>
          <w:rFonts w:ascii="Arial" w:hAnsi="Arial" w:cs="Arial"/>
          <w:b/>
          <w:sz w:val="20"/>
          <w:szCs w:val="20"/>
          <w:lang w:eastAsia="ar-SA"/>
        </w:rPr>
        <w:t xml:space="preserve">minimum </w:t>
      </w:r>
      <w:r w:rsidR="008D5A84" w:rsidRPr="00C02E9F">
        <w:rPr>
          <w:rFonts w:ascii="Arial" w:hAnsi="Arial" w:cs="Arial"/>
          <w:b/>
          <w:sz w:val="20"/>
          <w:szCs w:val="20"/>
          <w:lang w:eastAsia="ar-SA"/>
        </w:rPr>
        <w:t>36</w:t>
      </w:r>
      <w:r w:rsidRPr="00C02E9F">
        <w:rPr>
          <w:rFonts w:ascii="Arial" w:hAnsi="Arial" w:cs="Arial"/>
          <w:b/>
          <w:sz w:val="20"/>
          <w:szCs w:val="20"/>
          <w:lang w:eastAsia="ar-SA"/>
        </w:rPr>
        <w:t xml:space="preserve"> miesięczny</w:t>
      </w:r>
      <w:r w:rsidR="008D5A84" w:rsidRPr="00C02E9F">
        <w:rPr>
          <w:rFonts w:ascii="Arial" w:hAnsi="Arial" w:cs="Arial"/>
          <w:b/>
          <w:sz w:val="20"/>
          <w:szCs w:val="20"/>
          <w:lang w:eastAsia="ar-SA"/>
        </w:rPr>
        <w:t>m</w:t>
      </w:r>
      <w:r w:rsidRPr="00C02E9F">
        <w:rPr>
          <w:rFonts w:ascii="Arial" w:hAnsi="Arial" w:cs="Arial"/>
          <w:b/>
          <w:sz w:val="20"/>
          <w:szCs w:val="20"/>
          <w:lang w:eastAsia="ar-SA"/>
        </w:rPr>
        <w:t xml:space="preserve"> okres</w:t>
      </w:r>
      <w:r w:rsidR="008D5A84" w:rsidRPr="00C02E9F">
        <w:rPr>
          <w:rFonts w:ascii="Arial" w:hAnsi="Arial" w:cs="Arial"/>
          <w:b/>
          <w:sz w:val="20"/>
          <w:szCs w:val="20"/>
          <w:lang w:eastAsia="ar-SA"/>
        </w:rPr>
        <w:t>em</w:t>
      </w:r>
      <w:r w:rsidRPr="00C02E9F">
        <w:rPr>
          <w:rFonts w:ascii="Arial" w:hAnsi="Arial" w:cs="Arial"/>
          <w:b/>
          <w:sz w:val="20"/>
          <w:szCs w:val="20"/>
          <w:lang w:eastAsia="ar-SA"/>
        </w:rPr>
        <w:t xml:space="preserve"> gwarancji.</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rPr>
        <w:t xml:space="preserve">Zamawiający wymaga zgodnie z art. 95 ustawy pzp zatrudnienia przez Wykonawcę lub Podwykonawcę na podstawie umowy o pracę </w:t>
      </w:r>
      <w:r w:rsidR="00C20C07" w:rsidRPr="00C02E9F">
        <w:rPr>
          <w:rFonts w:ascii="Arial" w:hAnsi="Arial" w:cs="Arial"/>
          <w:sz w:val="20"/>
          <w:szCs w:val="20"/>
          <w:lang w:eastAsia="ar-SA"/>
        </w:rPr>
        <w:t xml:space="preserve">w rozumieniu art. 22 ustawy z dnia 26 czerwca </w:t>
      </w:r>
      <w:r w:rsidR="00BE1C79" w:rsidRPr="00C02E9F">
        <w:rPr>
          <w:rFonts w:ascii="Arial" w:hAnsi="Arial" w:cs="Arial"/>
          <w:sz w:val="20"/>
          <w:szCs w:val="20"/>
          <w:lang w:eastAsia="ar-SA"/>
        </w:rPr>
        <w:br/>
      </w:r>
      <w:r w:rsidR="00C20C07" w:rsidRPr="00C02E9F">
        <w:rPr>
          <w:rFonts w:ascii="Arial" w:hAnsi="Arial" w:cs="Arial"/>
          <w:sz w:val="20"/>
          <w:szCs w:val="20"/>
          <w:lang w:eastAsia="ar-SA"/>
        </w:rPr>
        <w:t>1974 r. -Kodeks pracy (Dz. U. z 2020 r., poz. 1320 z późn. zm.)</w:t>
      </w:r>
      <w:r w:rsidR="005954BE" w:rsidRPr="00C02E9F">
        <w:rPr>
          <w:rFonts w:ascii="Arial" w:hAnsi="Arial" w:cs="Arial"/>
          <w:sz w:val="20"/>
          <w:szCs w:val="20"/>
          <w:lang w:eastAsia="ar-SA"/>
        </w:rPr>
        <w:t xml:space="preserve"> </w:t>
      </w:r>
      <w:r w:rsidRPr="00C02E9F">
        <w:rPr>
          <w:rFonts w:ascii="Arial" w:hAnsi="Arial" w:cs="Arial"/>
          <w:sz w:val="20"/>
          <w:szCs w:val="20"/>
        </w:rPr>
        <w:t>osób wykonujących następujące czynności  w zakresie realizacji przedmiotu zamówienia:</w:t>
      </w:r>
      <w:r w:rsidR="00707829" w:rsidRPr="00C02E9F">
        <w:rPr>
          <w:rFonts w:ascii="Arial" w:hAnsi="Arial" w:cs="Arial"/>
          <w:b/>
          <w:sz w:val="20"/>
          <w:szCs w:val="20"/>
        </w:rPr>
        <w:t xml:space="preserve"> </w:t>
      </w:r>
      <w:r w:rsidR="00796BD5" w:rsidRPr="00C02E9F">
        <w:rPr>
          <w:rFonts w:ascii="Arial" w:hAnsi="Arial" w:cs="Arial"/>
          <w:b/>
          <w:sz w:val="20"/>
          <w:szCs w:val="20"/>
          <w:u w:val="single"/>
        </w:rPr>
        <w:t>roboty dekarskie, okładziny schodów</w:t>
      </w:r>
      <w:r w:rsidR="00996281" w:rsidRPr="00C02E9F">
        <w:rPr>
          <w:rFonts w:ascii="Arial" w:hAnsi="Arial" w:cs="Arial"/>
          <w:b/>
          <w:sz w:val="20"/>
          <w:szCs w:val="20"/>
          <w:u w:val="single"/>
          <w:lang w:eastAsia="ar-SA"/>
        </w:rPr>
        <w:t xml:space="preserve">. </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lastRenderedPageBreak/>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675538" w:rsidRPr="00C02E9F">
        <w:rPr>
          <w:rFonts w:ascii="Arial" w:hAnsi="Arial" w:cs="Arial"/>
          <w:sz w:val="20"/>
          <w:szCs w:val="20"/>
          <w:lang w:eastAsia="ar-SA"/>
        </w:rPr>
        <w:t>ozumieniu art. 22 Kodeksu Pracy</w:t>
      </w:r>
      <w:r w:rsidR="00004424" w:rsidRPr="00C02E9F">
        <w:rPr>
          <w:rFonts w:ascii="Arial" w:hAnsi="Arial" w:cs="Arial"/>
          <w:sz w:val="20"/>
          <w:szCs w:val="20"/>
          <w:lang w:eastAsia="ar-SA"/>
        </w:rPr>
        <w:t xml:space="preserve"> (załącznik nr 7 do SWZ)</w:t>
      </w:r>
      <w:r w:rsidR="00675538" w:rsidRPr="00C02E9F">
        <w:rPr>
          <w:rFonts w:ascii="Arial" w:hAnsi="Arial" w:cs="Arial"/>
          <w:sz w:val="20"/>
          <w:szCs w:val="20"/>
          <w:lang w:eastAsia="ar-SA"/>
        </w:rPr>
        <w:t xml:space="preserve"> oraz poświadczonej za zgodność z oryginałem kopii umowy o pracę zatrudnionego pracownika.</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6C2FD2" w:rsidRPr="00C02E9F">
        <w:rPr>
          <w:rFonts w:ascii="Arial" w:hAnsi="Arial" w:cs="Arial"/>
          <w:sz w:val="20"/>
          <w:szCs w:val="20"/>
          <w:lang w:eastAsia="ar-SA"/>
        </w:rPr>
        <w:t>7</w:t>
      </w:r>
      <w:r w:rsidRPr="00C02E9F">
        <w:rPr>
          <w:rFonts w:ascii="Arial" w:hAnsi="Arial" w:cs="Arial"/>
          <w:sz w:val="20"/>
          <w:szCs w:val="20"/>
          <w:lang w:eastAsia="ar-SA"/>
        </w:rPr>
        <w:t>, w terminie 7 dni od dnia otrzymania wezwania</w:t>
      </w:r>
      <w:r w:rsidR="005954BE" w:rsidRPr="00C02E9F">
        <w:rPr>
          <w:rFonts w:ascii="Arial" w:hAnsi="Arial" w:cs="Arial"/>
          <w:sz w:val="20"/>
          <w:szCs w:val="20"/>
          <w:lang w:eastAsia="ar-SA"/>
        </w:rPr>
        <w:t>.</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t xml:space="preserve">Zamawiający ma prawo do dokonania kontroli w zakresie określonym </w:t>
      </w:r>
      <w:r w:rsidR="00954BDF" w:rsidRPr="00C02E9F">
        <w:rPr>
          <w:rFonts w:ascii="Arial" w:hAnsi="Arial" w:cs="Arial"/>
          <w:sz w:val="20"/>
          <w:szCs w:val="20"/>
          <w:lang w:eastAsia="ar-SA"/>
        </w:rPr>
        <w:t xml:space="preserve">w art. 95 i 134 ust. 2 pkt 14 ustawy z dnia 11 września 2019 r. </w:t>
      </w:r>
      <w:r w:rsidR="00954BDF" w:rsidRPr="00C02E9F">
        <w:rPr>
          <w:rFonts w:ascii="Arial" w:hAnsi="Arial" w:cs="Arial"/>
          <w:bCs/>
          <w:sz w:val="20"/>
          <w:szCs w:val="20"/>
          <w:lang w:eastAsia="ar-SA"/>
        </w:rPr>
        <w:t>Prawo zamówień publicznych ( Dz.U. z 2019 r. poz. 2019 ze zm., zwana dalej „ustawą Pzp”</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t xml:space="preserve">Zastosowanie w </w:t>
      </w:r>
      <w:r w:rsidR="00707829" w:rsidRPr="00C02E9F">
        <w:rPr>
          <w:rFonts w:ascii="Arial" w:hAnsi="Arial" w:cs="Arial"/>
          <w:sz w:val="20"/>
          <w:szCs w:val="20"/>
          <w:lang w:eastAsia="ar-SA"/>
        </w:rPr>
        <w:t>specyfikacj</w:t>
      </w:r>
      <w:r w:rsidR="007B7EE2" w:rsidRPr="00C02E9F">
        <w:rPr>
          <w:rFonts w:ascii="Arial" w:hAnsi="Arial" w:cs="Arial"/>
          <w:sz w:val="20"/>
          <w:szCs w:val="20"/>
          <w:lang w:eastAsia="ar-SA"/>
        </w:rPr>
        <w:t xml:space="preserve">i </w:t>
      </w:r>
      <w:r w:rsidR="009B419C" w:rsidRPr="00C02E9F">
        <w:rPr>
          <w:rFonts w:ascii="Arial" w:hAnsi="Arial" w:cs="Arial"/>
          <w:sz w:val="20"/>
          <w:szCs w:val="20"/>
          <w:lang w:eastAsia="ar-SA"/>
        </w:rPr>
        <w:t>technicznej</w:t>
      </w:r>
      <w:r w:rsidR="00707829" w:rsidRPr="00C02E9F">
        <w:rPr>
          <w:rFonts w:ascii="Arial" w:hAnsi="Arial" w:cs="Arial"/>
          <w:sz w:val="20"/>
          <w:szCs w:val="20"/>
          <w:lang w:eastAsia="ar-SA"/>
        </w:rPr>
        <w:t xml:space="preserve"> wykonania i obioru robót budowlanych</w:t>
      </w:r>
      <w:r w:rsidRPr="00C02E9F">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sz w:val="20"/>
          <w:szCs w:val="20"/>
          <w:lang w:eastAsia="ar-SA"/>
        </w:rPr>
        <w:t>Realizacja zamówienia podlega prawu polskiemu, w tym w szczególności ustawie z dnia 7 lipca 1994 r. Prawo budowlane (t.j. Dz. U. z 2020 poz. 1333 z późn. zm.).</w:t>
      </w:r>
    </w:p>
    <w:p w:rsidR="003B7E8B" w:rsidRPr="00C02E9F" w:rsidRDefault="003B7E8B" w:rsidP="00C02E9F">
      <w:pPr>
        <w:pStyle w:val="Style1"/>
        <w:numPr>
          <w:ilvl w:val="0"/>
          <w:numId w:val="51"/>
        </w:numPr>
        <w:spacing w:line="276" w:lineRule="auto"/>
        <w:ind w:left="426"/>
        <w:jc w:val="both"/>
        <w:rPr>
          <w:rFonts w:ascii="Arial" w:eastAsiaTheme="minorEastAsia" w:hAnsi="Arial" w:cs="Arial"/>
          <w:b/>
          <w:sz w:val="20"/>
          <w:szCs w:val="20"/>
          <w:lang w:eastAsia="en-US" w:bidi="ar-SA"/>
        </w:rPr>
      </w:pPr>
      <w:r w:rsidRPr="00C02E9F">
        <w:rPr>
          <w:rFonts w:ascii="Arial" w:hAnsi="Arial" w:cs="Arial"/>
          <w:b/>
          <w:sz w:val="20"/>
          <w:szCs w:val="20"/>
          <w:lang w:eastAsia="ar-SA"/>
        </w:rPr>
        <w:t>Zamawiający informuje, że na etapie składania ofert nie żąda przedłożenia kosztorysu</w:t>
      </w:r>
      <w:r w:rsidR="00954BDF" w:rsidRPr="00C02E9F">
        <w:rPr>
          <w:rFonts w:ascii="Arial" w:hAnsi="Arial" w:cs="Arial"/>
          <w:b/>
          <w:sz w:val="20"/>
          <w:szCs w:val="20"/>
          <w:lang w:eastAsia="ar-SA"/>
        </w:rPr>
        <w:t xml:space="preserve"> ofertowego wg załączonego do S</w:t>
      </w:r>
      <w:r w:rsidRPr="00C02E9F">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6" w:name="_Toc74045020"/>
      <w:r w:rsidRPr="00F23106">
        <w:t>V. Wizja lokalna</w:t>
      </w:r>
      <w:bookmarkEnd w:id="6"/>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7" w:name="_Toc74045021"/>
      <w:r w:rsidRPr="00F23106">
        <w:t>VI. Podwykonawstwo</w:t>
      </w:r>
      <w:bookmarkEnd w:id="7"/>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8" w:name="_Toc74045022"/>
      <w:r w:rsidRPr="00F23106">
        <w:t>VII. Termin wykonania zamówienia</w:t>
      </w:r>
      <w:bookmarkEnd w:id="8"/>
    </w:p>
    <w:p w:rsidR="001B499E" w:rsidRPr="00036506" w:rsidRDefault="00EF33DB" w:rsidP="0063617C">
      <w:pPr>
        <w:numPr>
          <w:ilvl w:val="0"/>
          <w:numId w:val="9"/>
        </w:numPr>
        <w:spacing w:before="240" w:after="120"/>
        <w:ind w:left="425" w:hanging="425"/>
        <w:jc w:val="both"/>
        <w:rPr>
          <w:rFonts w:ascii="Arial" w:eastAsia="Times New Roman" w:hAnsi="Arial" w:cs="Arial"/>
          <w:lang w:eastAsia="pl-PL"/>
        </w:rPr>
      </w:pPr>
      <w:r w:rsidRPr="00036506">
        <w:rPr>
          <w:rFonts w:ascii="Arial" w:eastAsia="Times New Roman" w:hAnsi="Arial" w:cs="Arial"/>
          <w:lang w:eastAsia="pl-PL"/>
        </w:rPr>
        <w:t>Termin realizacji zamówienia wynosi:</w:t>
      </w:r>
    </w:p>
    <w:p w:rsidR="00CB577E" w:rsidRPr="00036506" w:rsidRDefault="00CB577E" w:rsidP="00CB577E">
      <w:pPr>
        <w:keepNext/>
        <w:spacing w:before="120" w:after="0"/>
        <w:ind w:left="426"/>
        <w:jc w:val="both"/>
        <w:rPr>
          <w:rFonts w:ascii="Arial" w:eastAsia="Times New Roman" w:hAnsi="Arial" w:cs="Arial"/>
          <w:b/>
          <w:szCs w:val="18"/>
          <w:lang w:eastAsia="pl-PL"/>
        </w:rPr>
      </w:pPr>
      <w:r w:rsidRPr="00036506">
        <w:rPr>
          <w:rFonts w:ascii="Arial" w:eastAsia="Times New Roman" w:hAnsi="Arial" w:cs="Arial"/>
          <w:b/>
          <w:szCs w:val="18"/>
          <w:lang w:eastAsia="pl-PL"/>
        </w:rPr>
        <w:t xml:space="preserve">1) Termin rozpoczęcia robót : </w:t>
      </w:r>
      <w:r w:rsidR="00E50F60">
        <w:rPr>
          <w:rFonts w:ascii="Arial" w:eastAsia="Times New Roman" w:hAnsi="Arial" w:cs="Arial"/>
          <w:b/>
          <w:szCs w:val="18"/>
          <w:lang w:eastAsia="pl-PL"/>
        </w:rPr>
        <w:t>po podpisaniu  umowy</w:t>
      </w:r>
    </w:p>
    <w:p w:rsidR="00CB577E" w:rsidRPr="00036506" w:rsidRDefault="00CB577E" w:rsidP="00CB577E">
      <w:pPr>
        <w:keepNext/>
        <w:spacing w:before="120" w:after="0"/>
        <w:ind w:left="426"/>
        <w:jc w:val="both"/>
        <w:rPr>
          <w:rFonts w:ascii="Arial" w:eastAsia="Times New Roman" w:hAnsi="Arial" w:cs="Arial"/>
          <w:b/>
          <w:szCs w:val="18"/>
          <w:lang w:eastAsia="pl-PL"/>
        </w:rPr>
      </w:pPr>
      <w:r w:rsidRPr="00036506">
        <w:rPr>
          <w:rFonts w:ascii="Arial" w:eastAsia="Times New Roman" w:hAnsi="Arial" w:cs="Arial"/>
          <w:b/>
          <w:szCs w:val="18"/>
          <w:lang w:eastAsia="pl-PL"/>
        </w:rPr>
        <w:t xml:space="preserve">2) Termin zakończenia robót :  do </w:t>
      </w:r>
      <w:r w:rsidR="00C02E9F">
        <w:rPr>
          <w:rFonts w:ascii="Arial" w:eastAsia="Times New Roman" w:hAnsi="Arial" w:cs="Arial"/>
          <w:b/>
          <w:szCs w:val="18"/>
          <w:lang w:eastAsia="pl-PL"/>
        </w:rPr>
        <w:t>3 m-cy.</w:t>
      </w:r>
    </w:p>
    <w:p w:rsidR="00CB577E" w:rsidRDefault="004268D7" w:rsidP="00CB577E">
      <w:pPr>
        <w:pStyle w:val="Akapitzlist"/>
        <w:keepNext/>
        <w:numPr>
          <w:ilvl w:val="0"/>
          <w:numId w:val="56"/>
        </w:numPr>
        <w:spacing w:before="120" w:after="0"/>
        <w:ind w:left="426"/>
        <w:jc w:val="both"/>
        <w:rPr>
          <w:rFonts w:ascii="Arial" w:eastAsia="Times New Roman" w:hAnsi="Arial" w:cs="Arial"/>
          <w:bCs/>
          <w:szCs w:val="18"/>
        </w:rPr>
      </w:pPr>
      <w:r w:rsidRPr="00CB577E">
        <w:rPr>
          <w:rFonts w:ascii="Arial" w:eastAsia="Times New Roman" w:hAnsi="Arial" w:cs="Arial"/>
          <w:bCs/>
          <w:szCs w:val="18"/>
        </w:rPr>
        <w:t>Termin zakończenia realizacji zadania jest terminem przekazania wykonanych prac wraz</w:t>
      </w:r>
      <w:r w:rsidR="00CB577E" w:rsidRPr="00CB577E">
        <w:rPr>
          <w:rFonts w:ascii="Arial" w:eastAsia="Times New Roman" w:hAnsi="Arial" w:cs="Arial"/>
          <w:bCs/>
          <w:szCs w:val="18"/>
        </w:rPr>
        <w:t xml:space="preserve"> </w:t>
      </w:r>
      <w:r w:rsidRPr="00CB577E">
        <w:rPr>
          <w:rFonts w:ascii="Arial" w:eastAsia="Times New Roman" w:hAnsi="Arial" w:cs="Arial"/>
          <w:bCs/>
          <w:szCs w:val="18"/>
        </w:rPr>
        <w:t>z kompletem wszystkich dokumentów potrzebnych do oddania inwestycji i obiektu</w:t>
      </w:r>
      <w:r w:rsidRPr="00CB577E">
        <w:rPr>
          <w:rFonts w:ascii="Arial" w:eastAsia="Times New Roman" w:hAnsi="Arial" w:cs="Arial"/>
          <w:bCs/>
          <w:szCs w:val="18"/>
        </w:rPr>
        <w:br/>
        <w:t>w użytkowanie.</w:t>
      </w:r>
    </w:p>
    <w:p w:rsidR="001B499E" w:rsidRPr="00CB577E" w:rsidRDefault="00CB577E" w:rsidP="00CB577E">
      <w:pPr>
        <w:pStyle w:val="Akapitzlist"/>
        <w:keepNext/>
        <w:numPr>
          <w:ilvl w:val="0"/>
          <w:numId w:val="56"/>
        </w:numPr>
        <w:spacing w:before="120" w:after="0"/>
        <w:ind w:left="426"/>
        <w:jc w:val="both"/>
        <w:rPr>
          <w:rFonts w:ascii="Arial" w:eastAsia="Times New Roman" w:hAnsi="Arial" w:cs="Arial"/>
          <w:bCs/>
          <w:szCs w:val="18"/>
        </w:rPr>
      </w:pPr>
      <w:r w:rsidRPr="00CB577E">
        <w:rPr>
          <w:rFonts w:ascii="Arial" w:eastAsia="Times New Roman" w:hAnsi="Arial" w:cs="Arial"/>
          <w:bCs/>
          <w:szCs w:val="18"/>
        </w:rPr>
        <w:t>S</w:t>
      </w:r>
      <w:r w:rsidR="00EF33DB" w:rsidRPr="00CB577E">
        <w:rPr>
          <w:rFonts w:ascii="Arial" w:eastAsia="Times New Roman" w:hAnsi="Arial" w:cs="Arial"/>
          <w:lang w:eastAsia="pl-PL"/>
        </w:rPr>
        <w:t xml:space="preserve">zczegółowe zagadnienia dotyczące terminu realizacji umowy uregulowane są we wzorze umowy w </w:t>
      </w:r>
      <w:r w:rsidR="00EF33DB" w:rsidRPr="00CB577E">
        <w:rPr>
          <w:rFonts w:ascii="Arial" w:eastAsia="Times New Roman" w:hAnsi="Arial" w:cs="Arial"/>
          <w:b/>
          <w:lang w:eastAsia="pl-PL"/>
        </w:rPr>
        <w:t>załączniku nr 4 do SWZ.</w:t>
      </w:r>
    </w:p>
    <w:p w:rsidR="001B499E" w:rsidRPr="00F23106" w:rsidRDefault="00EF33DB" w:rsidP="00415AC8">
      <w:pPr>
        <w:pStyle w:val="Nagwek1"/>
      </w:pPr>
      <w:bookmarkStart w:id="9" w:name="_Toc74045023"/>
      <w:r w:rsidRPr="00F23106">
        <w:t>VIII. Warunki udziału w postępowaniu</w:t>
      </w:r>
      <w:bookmarkEnd w:id="9"/>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10"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10"/>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D94D26">
        <w:rPr>
          <w:rFonts w:ascii="Arial" w:hAnsi="Arial" w:cs="Arial"/>
          <w:b/>
          <w:lang w:val="cs-CZ"/>
        </w:rPr>
        <w:t>2</w:t>
      </w:r>
      <w:r w:rsidRPr="00F23106">
        <w:rPr>
          <w:rFonts w:ascii="Arial" w:hAnsi="Arial" w:cs="Arial"/>
          <w:b/>
          <w:lang w:val="cs-CZ"/>
        </w:rPr>
        <w:t xml:space="preserve"> </w:t>
      </w:r>
      <w:r w:rsidR="00713989">
        <w:rPr>
          <w:rFonts w:ascii="Arial" w:hAnsi="Arial" w:cs="Arial"/>
          <w:b/>
          <w:lang w:val="cs-CZ"/>
        </w:rPr>
        <w:t>zadani</w:t>
      </w:r>
      <w:r w:rsidR="00D94D26">
        <w:rPr>
          <w:rFonts w:ascii="Arial" w:hAnsi="Arial" w:cs="Arial"/>
          <w:b/>
          <w:lang w:val="cs-CZ"/>
        </w:rPr>
        <w:t>a</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851444" w:rsidRDefault="00EF33DB">
      <w:pPr>
        <w:jc w:val="both"/>
        <w:rPr>
          <w:rFonts w:ascii="Arial" w:hAnsi="Arial" w:cs="Arial"/>
          <w:b/>
        </w:rPr>
      </w:pPr>
      <w:r w:rsidRPr="00F23106">
        <w:rPr>
          <w:rFonts w:ascii="Arial" w:hAnsi="Arial" w:cs="Arial"/>
          <w:b/>
          <w:lang w:val="cs-CZ"/>
        </w:rPr>
        <w:t>Przez „</w:t>
      </w:r>
      <w:r w:rsidR="00D94D26" w:rsidRPr="00D94D26">
        <w:rPr>
          <w:rFonts w:ascii="Arial" w:hAnsi="Arial" w:cs="Arial"/>
          <w:b/>
        </w:rPr>
        <w:t>zadanie odpowiadające rodzajem robót budowlanych stanowiący</w:t>
      </w:r>
      <w:r w:rsidR="00851444">
        <w:rPr>
          <w:rFonts w:ascii="Arial" w:hAnsi="Arial" w:cs="Arial"/>
          <w:b/>
        </w:rPr>
        <w:t>m</w:t>
      </w:r>
      <w:r w:rsidR="00D94D26" w:rsidRPr="00D94D26">
        <w:rPr>
          <w:rFonts w:ascii="Arial" w:hAnsi="Arial" w:cs="Arial"/>
          <w:b/>
        </w:rPr>
        <w:t xml:space="preserve"> przedmiot zamówienia</w:t>
      </w:r>
      <w:r w:rsidR="00851444">
        <w:rPr>
          <w:rFonts w:ascii="Arial" w:hAnsi="Arial" w:cs="Arial"/>
          <w:b/>
        </w:rPr>
        <w:t>”</w:t>
      </w:r>
      <w:r w:rsidR="00132BA6">
        <w:rPr>
          <w:rFonts w:ascii="Arial" w:hAnsi="Arial" w:cs="Arial"/>
          <w:b/>
        </w:rPr>
        <w:t xml:space="preserve"> rozumieć należy </w:t>
      </w:r>
      <w:r w:rsidR="00851444">
        <w:rPr>
          <w:rFonts w:ascii="Arial" w:hAnsi="Arial" w:cs="Arial"/>
          <w:b/>
        </w:rPr>
        <w:t>wykon</w:t>
      </w:r>
      <w:r w:rsidR="00132BA6">
        <w:rPr>
          <w:rFonts w:ascii="Arial" w:hAnsi="Arial" w:cs="Arial"/>
          <w:b/>
        </w:rPr>
        <w:t>anie</w:t>
      </w:r>
      <w:r w:rsidR="00851444">
        <w:rPr>
          <w:rFonts w:ascii="Arial" w:hAnsi="Arial" w:cs="Arial"/>
          <w:b/>
        </w:rPr>
        <w:t xml:space="preserve"> </w:t>
      </w:r>
      <w:r w:rsidR="00F41E8E" w:rsidRPr="00F41E8E">
        <w:rPr>
          <w:rFonts w:ascii="Arial" w:hAnsi="Arial" w:cs="Arial"/>
          <w:b/>
        </w:rPr>
        <w:t>budow</w:t>
      </w:r>
      <w:r w:rsidR="00F41E8E">
        <w:rPr>
          <w:rFonts w:ascii="Arial" w:hAnsi="Arial" w:cs="Arial"/>
          <w:b/>
        </w:rPr>
        <w:t>y</w:t>
      </w:r>
      <w:r w:rsidR="00F41E8E" w:rsidRPr="00F41E8E">
        <w:rPr>
          <w:rFonts w:ascii="Arial" w:hAnsi="Arial" w:cs="Arial"/>
          <w:b/>
        </w:rPr>
        <w:t xml:space="preserve"> , rozbudow</w:t>
      </w:r>
      <w:r w:rsidR="00F41E8E">
        <w:rPr>
          <w:rFonts w:ascii="Arial" w:hAnsi="Arial" w:cs="Arial"/>
          <w:b/>
        </w:rPr>
        <w:t>y , przebudowy  lub</w:t>
      </w:r>
      <w:r w:rsidR="00F41E8E" w:rsidRPr="00F41E8E">
        <w:rPr>
          <w:rFonts w:ascii="Arial" w:hAnsi="Arial" w:cs="Arial"/>
          <w:b/>
        </w:rPr>
        <w:t xml:space="preserve"> remont</w:t>
      </w:r>
      <w:r w:rsidR="00F41E8E">
        <w:rPr>
          <w:rFonts w:ascii="Arial" w:hAnsi="Arial" w:cs="Arial"/>
          <w:b/>
        </w:rPr>
        <w:t>u</w:t>
      </w:r>
      <w:r w:rsidR="00F41E8E" w:rsidRPr="00F41E8E">
        <w:rPr>
          <w:rFonts w:ascii="Arial" w:hAnsi="Arial" w:cs="Arial"/>
          <w:b/>
        </w:rPr>
        <w:t xml:space="preserve"> budynków w tym docieplenie ścian zewnętrznych - elewacji  o wartości robót budowlanych min.  250 000 zł brutto </w:t>
      </w:r>
      <w:r w:rsidR="00173017" w:rsidRPr="00173017">
        <w:rPr>
          <w:rFonts w:ascii="Arial" w:hAnsi="Arial" w:cs="Arial"/>
          <w:b/>
        </w:rPr>
        <w:t>(każde zadanie</w:t>
      </w:r>
      <w:r w:rsidR="00A22A51">
        <w:rPr>
          <w:rFonts w:ascii="Arial" w:hAnsi="Arial" w:cs="Arial"/>
          <w:b/>
        </w:rPr>
        <w:t>)</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8D5C1C" w:rsidRPr="008D5C1C" w:rsidRDefault="00EF33DB" w:rsidP="008D5C1C">
      <w:pPr>
        <w:jc w:val="both"/>
        <w:rPr>
          <w:rFonts w:ascii="Arial" w:hAnsi="Arial" w:cs="Arial"/>
          <w:b/>
        </w:rPr>
      </w:pPr>
      <w:r w:rsidRPr="00F23106">
        <w:rPr>
          <w:rFonts w:ascii="Arial" w:hAnsi="Arial" w:cs="Arial"/>
        </w:rPr>
        <w:t xml:space="preserve">a) </w:t>
      </w:r>
      <w:r w:rsidR="008D5C1C" w:rsidRPr="008D5C1C">
        <w:rPr>
          <w:rFonts w:ascii="Arial" w:hAnsi="Arial" w:cs="Arial"/>
          <w:b/>
        </w:rPr>
        <w:t>Kierownik robót w specjalności konstrukcyjno -  budowlanej pełniący jednocześnie rolę kierownika budowy o minimalnych wymaganiach:</w:t>
      </w:r>
    </w:p>
    <w:p w:rsidR="008D5C1C" w:rsidRPr="008D5C1C" w:rsidRDefault="008D5C1C" w:rsidP="008D5C1C">
      <w:pPr>
        <w:jc w:val="both"/>
        <w:rPr>
          <w:rFonts w:ascii="Arial" w:hAnsi="Arial" w:cs="Arial"/>
          <w:b/>
        </w:rPr>
      </w:pPr>
      <w:r w:rsidRPr="008D5C1C">
        <w:rPr>
          <w:rFonts w:ascii="Arial" w:hAnsi="Arial" w:cs="Arial"/>
          <w:b/>
        </w:rPr>
        <w:lastRenderedPageBreak/>
        <w:t>-  wykształcenie wyższe lub średnie,</w:t>
      </w:r>
    </w:p>
    <w:p w:rsidR="008D5C1C" w:rsidRPr="008D5C1C" w:rsidRDefault="008D5C1C" w:rsidP="008D5C1C">
      <w:pPr>
        <w:jc w:val="both"/>
        <w:rPr>
          <w:rFonts w:ascii="Arial" w:hAnsi="Arial" w:cs="Arial"/>
          <w:b/>
        </w:rPr>
      </w:pPr>
      <w:r w:rsidRPr="008D5C1C">
        <w:rPr>
          <w:rFonts w:ascii="Arial" w:hAnsi="Arial" w:cs="Arial"/>
          <w:b/>
        </w:rPr>
        <w:t xml:space="preserve">- posiadający uprawnienia do wykonywania samodzielnych funkcji technicznych </w:t>
      </w:r>
      <w:r w:rsidRPr="008D5C1C">
        <w:rPr>
          <w:rFonts w:ascii="Arial" w:hAnsi="Arial" w:cs="Arial"/>
          <w:b/>
        </w:rPr>
        <w:br/>
        <w:t>w budownictwie w specjalności konstrukcyjno budowlanej lub inne uprawnienia umożliwiające wykonywanie tych samych czynności, do wykonywania, których w aktualnym stanie prawnym uprawniają uprawnienia budowlane w/w specjalności,</w:t>
      </w:r>
    </w:p>
    <w:p w:rsidR="001B499E" w:rsidRPr="00F23106" w:rsidRDefault="00EF33DB" w:rsidP="008D5C1C">
      <w:pPr>
        <w:jc w:val="both"/>
        <w:rPr>
          <w:rFonts w:ascii="Arial" w:hAnsi="Arial" w:cs="Arial"/>
        </w:rPr>
      </w:pPr>
      <w:r w:rsidRPr="00F23106">
        <w:rPr>
          <w:rFonts w:ascii="Arial" w:hAnsi="Arial" w:cs="Arial"/>
        </w:rPr>
        <w:t>Zamawiający, w stosunku do Wykonawców wspólnie ubiegających si</w:t>
      </w:r>
      <w:r w:rsidR="008D5C1C">
        <w:rPr>
          <w:rFonts w:ascii="Arial" w:hAnsi="Arial" w:cs="Arial"/>
        </w:rPr>
        <w:t>ę</w:t>
      </w:r>
      <w:r w:rsidRPr="00F23106">
        <w:rPr>
          <w:rFonts w:ascii="Arial" w:hAnsi="Arial" w:cs="Arial"/>
        </w:rPr>
        <w:t xml:space="preserve"> o udzielenie zamówienia, </w:t>
      </w:r>
      <w:r w:rsidR="008D5C1C">
        <w:rPr>
          <w:rFonts w:ascii="Arial" w:hAnsi="Arial" w:cs="Arial"/>
        </w:rPr>
        <w:br/>
      </w:r>
      <w:r w:rsidRPr="00F23106">
        <w:rPr>
          <w:rFonts w:ascii="Arial" w:hAnsi="Arial" w:cs="Arial"/>
        </w:rPr>
        <w:t xml:space="preserve">w odniesieniu do warunku dotyczącego zdolności technicznej </w:t>
      </w:r>
      <w:r w:rsidR="008D5C1C">
        <w:rPr>
          <w:rFonts w:ascii="Arial" w:hAnsi="Arial" w:cs="Arial"/>
        </w:rPr>
        <w:t xml:space="preserve">lub zawodowej – dopuszcza łączne </w:t>
      </w:r>
      <w:r w:rsidRPr="00F23106">
        <w:rPr>
          <w:rFonts w:ascii="Arial" w:hAnsi="Arial" w:cs="Arial"/>
        </w:rPr>
        <w:t>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1" w:name="_Toc74045024"/>
      <w:r w:rsidRPr="00F23106">
        <w:t>IX. Podstawy wykluczenia</w:t>
      </w:r>
      <w:bookmarkEnd w:id="11"/>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r w:rsidRPr="00F23106">
        <w:rPr>
          <w:rFonts w:ascii="Arial" w:hAnsi="Arial" w:cs="Arial"/>
        </w:rPr>
        <w:t>pzp</w:t>
      </w:r>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w:t>
      </w:r>
      <w:r w:rsidR="00F441FA">
        <w:rPr>
          <w:rFonts w:ascii="Arial" w:hAnsi="Arial" w:cs="Arial"/>
        </w:rPr>
        <w:t>,5,7,8,9,10</w:t>
      </w:r>
      <w:r w:rsidR="009C28F3">
        <w:rPr>
          <w:rFonts w:ascii="Arial" w:hAnsi="Arial" w:cs="Arial"/>
        </w:rPr>
        <w:t xml:space="preserve"> ustawy</w:t>
      </w:r>
      <w:r>
        <w:rPr>
          <w:rFonts w:ascii="Arial" w:hAnsi="Arial" w:cs="Arial"/>
        </w:rPr>
        <w:t xml:space="preserve"> pzp</w:t>
      </w:r>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pzp. </w:t>
      </w:r>
    </w:p>
    <w:p w:rsidR="001B499E" w:rsidRPr="00F23106" w:rsidRDefault="00EF33DB" w:rsidP="00415AC8">
      <w:pPr>
        <w:pStyle w:val="Nagwek1"/>
      </w:pPr>
      <w:bookmarkStart w:id="12" w:name="_Toc74045025"/>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2"/>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pzp)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lastRenderedPageBreak/>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y 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w:t>
      </w:r>
      <w:r w:rsidRPr="00380F4F">
        <w:rPr>
          <w:rFonts w:ascii="Arial" w:hAnsi="Arial" w:cs="Arial"/>
          <w:b/>
          <w:u w:val="single"/>
        </w:rPr>
        <w:t>załączeniem dowodów</w:t>
      </w:r>
      <w:r w:rsidRPr="00F23106">
        <w:rPr>
          <w:rFonts w:ascii="Arial" w:hAnsi="Arial" w:cs="Arial"/>
        </w:rPr>
        <w:t xml:space="preserve">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D65A89" w:rsidRPr="00944B1C" w:rsidRDefault="00EF33DB" w:rsidP="00944B1C">
      <w:pPr>
        <w:pStyle w:val="Akapitzlist"/>
        <w:numPr>
          <w:ilvl w:val="0"/>
          <w:numId w:val="15"/>
        </w:numPr>
        <w:ind w:left="426"/>
        <w:jc w:val="both"/>
        <w:rPr>
          <w:rFonts w:ascii="Arial" w:hAnsi="Arial" w:cs="Arial"/>
        </w:rPr>
      </w:pPr>
      <w:r w:rsidRPr="00F23106">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3" w:name="_Toc74045026"/>
      <w:r w:rsidRPr="00F23106">
        <w:t>XI. Poleganie na zasobach innych podmiotów</w:t>
      </w:r>
      <w:bookmarkEnd w:id="13"/>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lastRenderedPageBreak/>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4" w:name="_Toc74045027"/>
      <w:r w:rsidRPr="00F23106">
        <w:t>XII. Informacja dla wykonawców wspólnie ubiegających się o udzielenie zamówienia ( spółki cywilne / konsorcja)</w:t>
      </w:r>
      <w:bookmarkEnd w:id="14"/>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F441FA" w:rsidRPr="003548F7" w:rsidRDefault="00EF33DB" w:rsidP="003548F7">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944B1C" w:rsidRDefault="00944B1C">
      <w:pPr>
        <w:rPr>
          <w:caps/>
          <w:color w:val="FFFFFF" w:themeColor="background1"/>
          <w:spacing w:val="15"/>
          <w:sz w:val="22"/>
          <w:szCs w:val="22"/>
        </w:rPr>
      </w:pPr>
      <w:r>
        <w:br w:type="page"/>
      </w:r>
    </w:p>
    <w:p w:rsidR="001B499E" w:rsidRPr="00F23106" w:rsidRDefault="00EF33DB" w:rsidP="00415AC8">
      <w:pPr>
        <w:pStyle w:val="Nagwek1"/>
      </w:pPr>
      <w:bookmarkStart w:id="15" w:name="_Toc74045028"/>
      <w:r w:rsidRPr="00F23106">
        <w:lastRenderedPageBreak/>
        <w:t>XIII. Sposób komunikacji oraz wyjaśnienia treści swz</w:t>
      </w:r>
      <w:bookmarkEnd w:id="15"/>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pzp.,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 xml:space="preserve">pdf .doc .docx .xls .xlsx .jpg (.jpeg)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.rar .gif .bmp .numbers .pages.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eDoApp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PAdES.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Pliki w innych formatach niż PDF </w:t>
      </w:r>
      <w:r w:rsidRPr="00F23106">
        <w:rPr>
          <w:rFonts w:ascii="Arial" w:hAnsi="Arial" w:cs="Arial"/>
          <w:b/>
          <w:bCs/>
          <w:lang w:val="pl"/>
        </w:rPr>
        <w:t>zaleca się opatrzyć podpisem w formacie XAdES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lastRenderedPageBreak/>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zainstalowany program Adobe Acrobat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oznaczenie czasu odbioru danych przez platformę zakupową stanowi datę oraz dokładny czas (hh:mm:ss)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lastRenderedPageBreak/>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3548F7" w:rsidP="0063617C">
      <w:pPr>
        <w:pStyle w:val="Akapitzlist"/>
        <w:numPr>
          <w:ilvl w:val="0"/>
          <w:numId w:val="22"/>
        </w:numPr>
        <w:jc w:val="both"/>
        <w:rPr>
          <w:rFonts w:ascii="Arial" w:hAnsi="Arial" w:cs="Arial"/>
        </w:rPr>
      </w:pPr>
      <w:r>
        <w:rPr>
          <w:rFonts w:ascii="Arial" w:hAnsi="Arial" w:cs="Arial"/>
        </w:rPr>
        <w:t>Zdzisław Tur</w:t>
      </w:r>
      <w:r w:rsidR="00CB588D">
        <w:rPr>
          <w:rFonts w:ascii="Arial" w:hAnsi="Arial" w:cs="Arial"/>
        </w:rPr>
        <w:t xml:space="preserve"> - tel. 55 278 60 15 wew. </w:t>
      </w:r>
      <w:r>
        <w:rPr>
          <w:rFonts w:ascii="Arial" w:hAnsi="Arial" w:cs="Arial"/>
        </w:rPr>
        <w:t>29</w:t>
      </w:r>
    </w:p>
    <w:p w:rsidR="001B499E" w:rsidRPr="00F23106" w:rsidRDefault="00EF33DB" w:rsidP="005F2A67">
      <w:pPr>
        <w:pStyle w:val="Nagwek1"/>
      </w:pPr>
      <w:bookmarkStart w:id="16" w:name="_Toc74045029"/>
      <w:r w:rsidRPr="00F23106">
        <w:lastRenderedPageBreak/>
        <w:t>XIV. Opis sposobu przygotowania ofert oraz wymagania formalne dotyczące skałdanych oświadczeń i dokumentów</w:t>
      </w:r>
      <w:bookmarkEnd w:id="16"/>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lastRenderedPageBreak/>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7" w:name="_Toc74045030"/>
      <w:r w:rsidRPr="00F23106">
        <w:t>XV. Sposób obliczania ceny oferty</w:t>
      </w:r>
      <w:bookmarkEnd w:id="17"/>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8" w:name="_Toc74045031"/>
      <w:r w:rsidRPr="00F23106">
        <w:t>XVI. Wymagania dotyczące wadium</w:t>
      </w:r>
      <w:bookmarkEnd w:id="18"/>
    </w:p>
    <w:p w:rsidR="0005336E" w:rsidRPr="00D65A89" w:rsidRDefault="0005336E" w:rsidP="002177C4">
      <w:pPr>
        <w:pStyle w:val="Akapitzlist"/>
        <w:numPr>
          <w:ilvl w:val="0"/>
          <w:numId w:val="45"/>
        </w:numPr>
        <w:ind w:left="426"/>
        <w:jc w:val="both"/>
        <w:rPr>
          <w:rFonts w:ascii="Arial" w:hAnsi="Arial" w:cs="Arial"/>
          <w:b/>
        </w:rPr>
      </w:pPr>
      <w:r w:rsidRPr="00D65A89">
        <w:rPr>
          <w:rFonts w:ascii="Arial" w:hAnsi="Arial" w:cs="Arial"/>
        </w:rPr>
        <w:t>Zamawiający nie wymaga wniesienia wadium.</w:t>
      </w:r>
    </w:p>
    <w:p w:rsidR="001B499E" w:rsidRPr="00F23106" w:rsidRDefault="00EF33DB" w:rsidP="005F2A67">
      <w:pPr>
        <w:pStyle w:val="Nagwek1"/>
      </w:pPr>
      <w:bookmarkStart w:id="19" w:name="_Toc74045032"/>
      <w:r w:rsidRPr="00F23106">
        <w:t>XVII. Termin związania ofertą</w:t>
      </w:r>
      <w:bookmarkEnd w:id="19"/>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D946C1">
        <w:rPr>
          <w:rFonts w:ascii="Arial" w:hAnsi="Arial" w:cs="Arial"/>
          <w:b/>
        </w:rPr>
        <w:t>2</w:t>
      </w:r>
      <w:r w:rsidR="00F91911">
        <w:rPr>
          <w:rFonts w:ascii="Arial" w:hAnsi="Arial" w:cs="Arial"/>
          <w:b/>
        </w:rPr>
        <w:t>2</w:t>
      </w:r>
      <w:r w:rsidR="00256AE2" w:rsidRPr="00F23106">
        <w:rPr>
          <w:rFonts w:ascii="Arial" w:hAnsi="Arial" w:cs="Arial"/>
          <w:b/>
        </w:rPr>
        <w:t>.0</w:t>
      </w:r>
      <w:r w:rsidR="00E13F75">
        <w:rPr>
          <w:rFonts w:ascii="Arial" w:hAnsi="Arial" w:cs="Arial"/>
          <w:b/>
        </w:rPr>
        <w:t>7</w:t>
      </w:r>
      <w:r w:rsidR="00256AE2" w:rsidRPr="00F23106">
        <w:rPr>
          <w:rFonts w:ascii="Arial" w:hAnsi="Arial" w:cs="Arial"/>
          <w:b/>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1B499E" w:rsidRPr="00F23106" w:rsidRDefault="00EF33DB" w:rsidP="005F2A67">
      <w:pPr>
        <w:pStyle w:val="Nagwek1"/>
      </w:pPr>
      <w:bookmarkStart w:id="20" w:name="_Toc74045033"/>
      <w:r w:rsidRPr="00F23106">
        <w:t>XVIII. Sposób i termin składania i otwarcia ofert</w:t>
      </w:r>
      <w:bookmarkEnd w:id="20"/>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D946C1">
        <w:rPr>
          <w:rFonts w:ascii="Arial" w:hAnsi="Arial" w:cs="Arial"/>
          <w:b/>
        </w:rPr>
        <w:t>23</w:t>
      </w:r>
      <w:r w:rsidR="007C05FE">
        <w:rPr>
          <w:rFonts w:ascii="Arial" w:hAnsi="Arial" w:cs="Arial"/>
          <w:b/>
        </w:rPr>
        <w:t>.0</w:t>
      </w:r>
      <w:r w:rsidR="00E13F75">
        <w:rPr>
          <w:rFonts w:ascii="Arial" w:hAnsi="Arial" w:cs="Arial"/>
          <w:b/>
        </w:rPr>
        <w:t>6</w:t>
      </w:r>
      <w:r w:rsidR="00B664F8" w:rsidRPr="00F23106">
        <w:rPr>
          <w:rFonts w:ascii="Arial" w:hAnsi="Arial" w:cs="Arial"/>
          <w:b/>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D946C1">
        <w:rPr>
          <w:rFonts w:ascii="Arial" w:hAnsi="Arial" w:cs="Arial"/>
          <w:b/>
        </w:rPr>
        <w:t>23</w:t>
      </w:r>
      <w:r w:rsidR="007C05FE">
        <w:rPr>
          <w:rFonts w:ascii="Arial" w:hAnsi="Arial" w:cs="Arial"/>
          <w:b/>
        </w:rPr>
        <w:t>.0</w:t>
      </w:r>
      <w:r w:rsidR="00E13F75">
        <w:rPr>
          <w:rFonts w:ascii="Arial" w:hAnsi="Arial" w:cs="Arial"/>
          <w:b/>
        </w:rPr>
        <w:t>6</w:t>
      </w:r>
      <w:r w:rsidR="00B664F8" w:rsidRPr="00F23106">
        <w:rPr>
          <w:rFonts w:ascii="Arial" w:hAnsi="Arial" w:cs="Arial"/>
          <w:b/>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1" w:name="_Toc74045034"/>
      <w:r w:rsidRPr="00F23106">
        <w:t>XIX. Opis kryteriów oceny ofert, wraz z podaniem wag tych kryteriów i sposobu oceny ofert</w:t>
      </w:r>
      <w:bookmarkEnd w:id="21"/>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r w:rsidRPr="00F23106">
              <w:rPr>
                <w:rFonts w:ascii="Arial" w:hAnsi="Arial" w:cs="Arial"/>
              </w:rPr>
              <w:t>Gw</w:t>
            </w:r>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lastRenderedPageBreak/>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Default="00EF33DB">
      <w:pPr>
        <w:jc w:val="both"/>
        <w:rPr>
          <w:rFonts w:ascii="Arial" w:hAnsi="Arial" w:cs="Arial"/>
          <w:b/>
        </w:rPr>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r w:rsidR="002A32DA" w:rsidRPr="00F23106">
        <w:rPr>
          <w:rFonts w:ascii="Arial" w:hAnsi="Arial" w:cs="Arial"/>
          <w:b/>
        </w:rPr>
        <w:t>Gw</w:t>
      </w:r>
      <w:r w:rsidRPr="00F23106">
        <w:rPr>
          <w:rFonts w:ascii="Arial" w:hAnsi="Arial" w:cs="Arial"/>
          <w:b/>
        </w:rPr>
        <w:t xml:space="preserve">): </w:t>
      </w:r>
    </w:p>
    <w:p w:rsidR="00047982" w:rsidRPr="00047982" w:rsidRDefault="00047982" w:rsidP="00047982">
      <w:pPr>
        <w:numPr>
          <w:ilvl w:val="12"/>
          <w:numId w:val="0"/>
        </w:numPr>
        <w:spacing w:after="0"/>
        <w:jc w:val="both"/>
        <w:rPr>
          <w:rFonts w:ascii="Arial" w:hAnsi="Arial" w:cs="Arial"/>
        </w:rPr>
      </w:pPr>
      <w:r w:rsidRPr="00047982">
        <w:rPr>
          <w:rFonts w:ascii="Arial" w:hAnsi="Arial" w:cs="Arial"/>
        </w:rPr>
        <w:t>Wykonawca otrzyma odpowiednio następującą liczbę punktów za poszczególny okres gwarancji ogółem:</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36-41 miesięcy gwarancji   – 5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42-47 miesięcy gwarancji – 10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48-53 miesięcy gwarancji – 20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54-59 miesięcy gwarancji – 30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60  i więcej miesięcy gwarancji – 40 pkt.</w:t>
      </w:r>
    </w:p>
    <w:p w:rsidR="00047982" w:rsidRPr="00047982" w:rsidRDefault="00047982" w:rsidP="00047982">
      <w:pPr>
        <w:spacing w:after="0"/>
        <w:ind w:left="1364"/>
        <w:jc w:val="both"/>
        <w:rPr>
          <w:rFonts w:ascii="Arial" w:hAnsi="Arial" w:cs="Arial"/>
          <w:b/>
        </w:rPr>
      </w:pP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 xml:space="preserve">Minimalny okres gwarancji wymagany przez Zamawiającego wynosi </w:t>
      </w:r>
      <w:r w:rsidR="00047982">
        <w:rPr>
          <w:rFonts w:ascii="Arial" w:hAnsi="Arial" w:cs="Arial"/>
          <w:b/>
          <w:u w:val="single"/>
        </w:rPr>
        <w:t>3</w:t>
      </w:r>
      <w:r w:rsidRPr="00F23106">
        <w:rPr>
          <w:rFonts w:ascii="Arial" w:hAnsi="Arial" w:cs="Arial"/>
          <w:b/>
          <w:u w:val="single"/>
        </w:rPr>
        <w:t>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t>
      </w:r>
      <w:r w:rsidR="00047982">
        <w:rPr>
          <w:rFonts w:ascii="Arial" w:hAnsi="Arial" w:cs="Arial"/>
        </w:rPr>
        <w:t>wany przez Zmawiającego wynosi 60</w:t>
      </w:r>
      <w:r w:rsidRPr="00F23106">
        <w:rPr>
          <w:rFonts w:ascii="Arial" w:hAnsi="Arial" w:cs="Arial"/>
        </w:rPr>
        <w:t xml:space="preserve">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 xml:space="preserve">Oferta z okresem gwarancji krótszym niż </w:t>
      </w:r>
      <w:r w:rsidR="00047982">
        <w:rPr>
          <w:rFonts w:ascii="Arial" w:hAnsi="Arial" w:cs="Arial"/>
          <w:b/>
        </w:rPr>
        <w:t>3</w:t>
      </w:r>
      <w:r w:rsidRPr="00F23106">
        <w:rPr>
          <w:rFonts w:ascii="Arial" w:hAnsi="Arial" w:cs="Arial"/>
          <w:b/>
        </w:rPr>
        <w:t>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pzp.</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047982">
        <w:rPr>
          <w:rFonts w:ascii="Arial" w:hAnsi="Arial" w:cs="Arial"/>
          <w:b/>
        </w:rPr>
        <w:t>Oferta z okresem gwarancji 60</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047982">
        <w:rPr>
          <w:rFonts w:ascii="Arial" w:hAnsi="Arial" w:cs="Arial"/>
        </w:rPr>
        <w:t>3</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rzuci ofertę na podstawie art. 226 ust. 1 pkt. 11 ustawy pzp.</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047982">
        <w:rPr>
          <w:rFonts w:ascii="Arial" w:hAnsi="Arial" w:cs="Arial"/>
          <w:b/>
        </w:rPr>
        <w:t>3</w:t>
      </w:r>
      <w:r w:rsidR="00622C72" w:rsidRPr="00F23106">
        <w:rPr>
          <w:rFonts w:ascii="Arial" w:hAnsi="Arial" w:cs="Arial"/>
          <w:b/>
        </w:rPr>
        <w:t xml:space="preserve">6, </w:t>
      </w:r>
      <w:r w:rsidR="00047982">
        <w:rPr>
          <w:rFonts w:ascii="Arial" w:hAnsi="Arial" w:cs="Arial"/>
          <w:b/>
        </w:rPr>
        <w:t>3</w:t>
      </w:r>
      <w:r w:rsidR="00622C72" w:rsidRPr="00F23106">
        <w:rPr>
          <w:rFonts w:ascii="Arial" w:hAnsi="Arial" w:cs="Arial"/>
          <w:b/>
        </w:rPr>
        <w:t xml:space="preserve">7, </w:t>
      </w:r>
      <w:r w:rsidR="00047982">
        <w:rPr>
          <w:rFonts w:ascii="Arial" w:hAnsi="Arial" w:cs="Arial"/>
          <w:b/>
        </w:rPr>
        <w:t>3</w:t>
      </w:r>
      <w:r w:rsidR="00622C72" w:rsidRPr="00F23106">
        <w:rPr>
          <w:rFonts w:ascii="Arial" w:hAnsi="Arial" w:cs="Arial"/>
          <w:b/>
        </w:rPr>
        <w:t>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F91911" w:rsidRDefault="00EF33DB" w:rsidP="00F91911">
      <w:pPr>
        <w:jc w:val="center"/>
        <w:rPr>
          <w:rFonts w:ascii="Arial" w:hAnsi="Arial" w:cs="Arial"/>
          <w:b/>
          <w:lang w:val="en-US"/>
        </w:rPr>
      </w:pPr>
      <w:r w:rsidRPr="00F23106">
        <w:rPr>
          <w:rFonts w:ascii="Arial" w:hAnsi="Arial" w:cs="Arial"/>
          <w:b/>
          <w:lang w:val="en-US"/>
        </w:rPr>
        <w:t xml:space="preserve">Of= C + </w:t>
      </w:r>
      <w:r w:rsidR="00595950" w:rsidRPr="00F23106">
        <w:rPr>
          <w:rFonts w:ascii="Arial" w:hAnsi="Arial" w:cs="Arial"/>
          <w:b/>
          <w:lang w:val="en-US"/>
        </w:rPr>
        <w:t>Gw</w:t>
      </w:r>
    </w:p>
    <w:p w:rsidR="001B499E" w:rsidRPr="00F91911" w:rsidRDefault="00EF33DB" w:rsidP="00F91911">
      <w:pPr>
        <w:rPr>
          <w:rFonts w:ascii="Arial" w:hAnsi="Arial" w:cs="Arial"/>
          <w:b/>
          <w:lang w:val="en-US"/>
        </w:rPr>
      </w:pPr>
      <w:r w:rsidRPr="00F23106">
        <w:rPr>
          <w:rFonts w:ascii="Arial" w:hAnsi="Arial" w:cs="Arial"/>
        </w:rPr>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r w:rsidRPr="00F23106">
        <w:rPr>
          <w:rFonts w:ascii="Arial" w:hAnsi="Arial" w:cs="Arial"/>
        </w:rPr>
        <w:t>G</w:t>
      </w:r>
      <w:r w:rsidR="00E81587" w:rsidRPr="00F23106">
        <w:rPr>
          <w:rFonts w:ascii="Arial" w:hAnsi="Arial" w:cs="Arial"/>
        </w:rPr>
        <w:t>w</w:t>
      </w:r>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lastRenderedPageBreak/>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2" w:name="_Toc74045035"/>
      <w:r w:rsidRPr="00F23106">
        <w:t>XX. Informacje o formalnościach, jakie powinny być dopełnione po wyborze oferty w celu zawarcia umowy w sprawie zamówienia publicznego</w:t>
      </w:r>
      <w:bookmarkEnd w:id="22"/>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2068CF">
      <w:pPr>
        <w:numPr>
          <w:ilvl w:val="0"/>
          <w:numId w:val="30"/>
        </w:numPr>
        <w:tabs>
          <w:tab w:val="left" w:pos="426"/>
        </w:tabs>
        <w:ind w:left="425" w:hanging="425"/>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1B499E" w:rsidRPr="00F23106" w:rsidRDefault="00EF33DB" w:rsidP="005F2A67">
      <w:pPr>
        <w:pStyle w:val="Nagwek1"/>
      </w:pPr>
      <w:bookmarkStart w:id="23" w:name="_Toc74045036"/>
      <w:r w:rsidRPr="00F23106">
        <w:t>XXI. Wymagania dotyczące zabezpieczenia należytego wykonania umowy</w:t>
      </w:r>
      <w:bookmarkEnd w:id="23"/>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ustala się w wysokości 5 % wartości wynagrodzenia brutto za przedmiot zamówienia tj....................................zł.</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Wykonawca zobowiązany jest wnieść na rachunek lub dostarczyć w dniu podpisania umowy.</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umowy wniesione zostało w formie: ………………</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wniesione w pieniądzu będzie się znajdowało na koncie depozytowym Zamawiającego.</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Zabezpieczenie należytego wykonania będzie zwrócone Wykonawcy w terminach i wysokościach jak niżej:</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lastRenderedPageBreak/>
        <w:t>70% kwoty zabezpieczenia w terminie 30 dni od dnia wykonania zamówienia i uznania go przez zamawiającego za należycie wykonane.</w:t>
      </w:r>
    </w:p>
    <w:p w:rsidR="006C739C" w:rsidRPr="006C739C" w:rsidRDefault="006C739C" w:rsidP="006C739C">
      <w:pPr>
        <w:numPr>
          <w:ilvl w:val="0"/>
          <w:numId w:val="53"/>
        </w:numPr>
        <w:ind w:left="426"/>
        <w:jc w:val="both"/>
        <w:rPr>
          <w:rFonts w:ascii="Arial" w:hAnsi="Arial" w:cs="Arial"/>
        </w:rPr>
      </w:pPr>
      <w:r w:rsidRPr="006C739C">
        <w:rPr>
          <w:rFonts w:ascii="Arial" w:hAnsi="Arial" w:cs="Arial"/>
        </w:rPr>
        <w:t xml:space="preserve">30% kwoty zabezpieczenia jest zwracane nie później niż w 15 dniu od dnia upływu okresu rękojmi za wady </w:t>
      </w:r>
      <w:bookmarkStart w:id="24" w:name="_Hlk63252109"/>
      <w:r w:rsidRPr="006C739C">
        <w:rPr>
          <w:rFonts w:ascii="Arial" w:hAnsi="Arial" w:cs="Arial"/>
        </w:rPr>
        <w:t>lub gwarancji.</w:t>
      </w:r>
      <w:bookmarkEnd w:id="24"/>
    </w:p>
    <w:p w:rsidR="006C739C" w:rsidRPr="006C739C" w:rsidRDefault="006C739C" w:rsidP="006C739C">
      <w:pPr>
        <w:numPr>
          <w:ilvl w:val="0"/>
          <w:numId w:val="53"/>
        </w:numPr>
        <w:ind w:left="426"/>
        <w:jc w:val="both"/>
        <w:rPr>
          <w:rFonts w:ascii="Arial" w:hAnsi="Arial" w:cs="Arial"/>
        </w:rPr>
      </w:pPr>
      <w:r w:rsidRPr="006C739C">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rsidR="001B499E" w:rsidRPr="00F23106" w:rsidRDefault="00EF33DB" w:rsidP="002068CF">
      <w:pPr>
        <w:pStyle w:val="Nagwek1"/>
        <w:spacing w:after="200"/>
      </w:pPr>
      <w:bookmarkStart w:id="25" w:name="_Toc74045037"/>
      <w:r w:rsidRPr="00F23106">
        <w:t>XXII. Informacje o treści zawieranej u</w:t>
      </w:r>
      <w:r w:rsidR="008B1581" w:rsidRPr="00F23106">
        <w:t>mowy oraz możliwości jej zmiany</w:t>
      </w:r>
      <w:bookmarkEnd w:id="25"/>
    </w:p>
    <w:p w:rsidR="001B499E" w:rsidRPr="00F23106" w:rsidRDefault="00EF33DB" w:rsidP="002068CF">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2068CF">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2068CF">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6" w:name="_Toc74045038"/>
      <w:r w:rsidRPr="00F23106">
        <w:t>XXIII. Pouczenie o środkach ochrony prawnej przysługujących wykonawcy</w:t>
      </w:r>
      <w:bookmarkEnd w:id="26"/>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Pr="00F23106" w:rsidRDefault="00EF33DB" w:rsidP="00124F6B">
      <w:pPr>
        <w:numPr>
          <w:ilvl w:val="0"/>
          <w:numId w:val="33"/>
        </w:numPr>
        <w:jc w:val="both"/>
        <w:rPr>
          <w:rFonts w:ascii="Arial" w:hAnsi="Arial" w:cs="Arial"/>
        </w:rPr>
      </w:pPr>
      <w:r w:rsidRPr="00F23106">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Odwołanie wnosi się do Prezesa Izby. Odwołujący przekazuje zamawiającemu odwołanie wniesione w formie elektronicznej albo postaci elektronicznej albo kpię tego odwołania, jeżeli </w:t>
      </w:r>
      <w:r w:rsidR="0054523C" w:rsidRPr="00F23106">
        <w:rPr>
          <w:rFonts w:ascii="Arial" w:hAnsi="Arial" w:cs="Arial"/>
        </w:rPr>
        <w:t>zostało</w:t>
      </w:r>
      <w:r w:rsidRPr="00F23106">
        <w:rPr>
          <w:rFonts w:ascii="Arial" w:hAnsi="Arial" w:cs="Arial"/>
        </w:rPr>
        <w:t xml:space="preserve">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lastRenderedPageBreak/>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Na orzeczenie Izby oraz postanowienie Prezesa Izby, o którym mowa w art. 519 ust. 1 ustawy pzp,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7" w:name="_Toc74045039"/>
      <w:r w:rsidRPr="00F23106">
        <w:t>XXIV. Wykaz załączników do SIWZ</w:t>
      </w:r>
      <w:bookmarkEnd w:id="27"/>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80" w:rsidRDefault="00131F80">
      <w:pPr>
        <w:spacing w:after="0" w:line="240" w:lineRule="auto"/>
      </w:pPr>
      <w:r>
        <w:separator/>
      </w:r>
    </w:p>
  </w:endnote>
  <w:endnote w:type="continuationSeparator" w:id="0">
    <w:p w:rsidR="00131F80" w:rsidRDefault="0013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8C24CB" w:rsidRDefault="008C24CB">
        <w:pPr>
          <w:pStyle w:val="Stopka"/>
          <w:jc w:val="right"/>
        </w:pPr>
        <w:r>
          <w:fldChar w:fldCharType="begin"/>
        </w:r>
        <w:r>
          <w:instrText>PAGE   \* MERGEFORMAT</w:instrText>
        </w:r>
        <w:r>
          <w:fldChar w:fldCharType="separate"/>
        </w:r>
        <w:r w:rsidR="00D32BC6">
          <w:rPr>
            <w:noProof/>
          </w:rPr>
          <w:t>20</w:t>
        </w:r>
        <w:r>
          <w:fldChar w:fldCharType="end"/>
        </w:r>
      </w:p>
    </w:sdtContent>
  </w:sdt>
  <w:p w:rsidR="008C24CB" w:rsidRDefault="008C24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80" w:rsidRDefault="00131F80">
      <w:pPr>
        <w:spacing w:after="0" w:line="240" w:lineRule="auto"/>
      </w:pPr>
      <w:r>
        <w:rPr>
          <w:color w:val="000000"/>
        </w:rPr>
        <w:separator/>
      </w:r>
    </w:p>
  </w:footnote>
  <w:footnote w:type="continuationSeparator" w:id="0">
    <w:p w:rsidR="00131F80" w:rsidRDefault="0013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B" w:rsidRDefault="008C24CB" w:rsidP="00756E46">
    <w:pPr>
      <w:pStyle w:val="Nagwek"/>
      <w:jc w:val="right"/>
      <w:rPr>
        <w:color w:val="4A66AC" w:themeColor="accent1"/>
      </w:rPr>
    </w:pPr>
    <w:r>
      <w:rPr>
        <w:color w:val="4A66AC" w:themeColor="accent1"/>
      </w:rPr>
      <w:t>Postępowanie znak: RLZP.I.271.1</w:t>
    </w:r>
    <w:r w:rsidR="00001AD6">
      <w:rPr>
        <w:color w:val="4A66AC" w:themeColor="accent1"/>
      </w:rPr>
      <w:t>4</w:t>
    </w:r>
    <w:r>
      <w:rPr>
        <w:color w:val="4A66AC" w:themeColor="accent1"/>
      </w:rPr>
      <w:t>.2021</w:t>
    </w:r>
  </w:p>
  <w:p w:rsidR="008C24CB" w:rsidRDefault="008C24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1AA"/>
    <w:multiLevelType w:val="multilevel"/>
    <w:tmpl w:val="0E900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F60E4"/>
    <w:multiLevelType w:val="hybridMultilevel"/>
    <w:tmpl w:val="A53A0ECC"/>
    <w:lvl w:ilvl="0" w:tplc="4A4A8C70">
      <w:start w:val="1"/>
      <w:numFmt w:val="decimal"/>
      <w:lvlText w:val="%1)"/>
      <w:lvlJc w:val="left"/>
      <w:pPr>
        <w:ind w:left="644" w:hanging="360"/>
      </w:pPr>
    </w:lvl>
    <w:lvl w:ilvl="1" w:tplc="0F7A28AE">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4"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 w15:restartNumberingAfterBreak="0">
    <w:nsid w:val="25817312"/>
    <w:multiLevelType w:val="multilevel"/>
    <w:tmpl w:val="F0D81322"/>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rFonts w:ascii="Arial" w:hAnsi="Arial" w:cs="Arial"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6A7A44"/>
    <w:multiLevelType w:val="hybridMultilevel"/>
    <w:tmpl w:val="867604FA"/>
    <w:lvl w:ilvl="0" w:tplc="D80488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5"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D0F2ED7"/>
    <w:multiLevelType w:val="multilevel"/>
    <w:tmpl w:val="2CD2EB9A"/>
    <w:lvl w:ilvl="0">
      <w:start w:val="2"/>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090CBA"/>
    <w:multiLevelType w:val="hybridMultilevel"/>
    <w:tmpl w:val="A078A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4" w15:restartNumberingAfterBreak="0">
    <w:nsid w:val="48180545"/>
    <w:multiLevelType w:val="multilevel"/>
    <w:tmpl w:val="DB6A0D28"/>
    <w:lvl w:ilvl="0">
      <w:start w:val="1"/>
      <w:numFmt w:val="decimal"/>
      <w:lvlText w:val="%1."/>
      <w:lvlJc w:val="left"/>
      <w:pPr>
        <w:ind w:left="786" w:hanging="360"/>
      </w:pPr>
    </w:lvl>
    <w:lvl w:ilvl="1">
      <w:start w:val="2"/>
      <w:numFmt w:val="decimal"/>
      <w:isLgl/>
      <w:lvlText w:val="%1.%2."/>
      <w:lvlJc w:val="left"/>
      <w:pPr>
        <w:ind w:left="1161"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35"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7"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6B65C1F"/>
    <w:multiLevelType w:val="hybridMultilevel"/>
    <w:tmpl w:val="6E74F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6"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7"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8"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53"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4"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7"/>
  </w:num>
  <w:num w:numId="2">
    <w:abstractNumId w:val="6"/>
  </w:num>
  <w:num w:numId="3">
    <w:abstractNumId w:val="46"/>
  </w:num>
  <w:num w:numId="4">
    <w:abstractNumId w:val="36"/>
  </w:num>
  <w:num w:numId="5">
    <w:abstractNumId w:val="8"/>
  </w:num>
  <w:num w:numId="6">
    <w:abstractNumId w:val="24"/>
  </w:num>
  <w:num w:numId="7">
    <w:abstractNumId w:val="35"/>
  </w:num>
  <w:num w:numId="8">
    <w:abstractNumId w:val="52"/>
  </w:num>
  <w:num w:numId="9">
    <w:abstractNumId w:val="17"/>
  </w:num>
  <w:num w:numId="10">
    <w:abstractNumId w:val="3"/>
  </w:num>
  <w:num w:numId="11">
    <w:abstractNumId w:val="51"/>
  </w:num>
  <w:num w:numId="12">
    <w:abstractNumId w:val="4"/>
  </w:num>
  <w:num w:numId="13">
    <w:abstractNumId w:val="39"/>
  </w:num>
  <w:num w:numId="14">
    <w:abstractNumId w:val="44"/>
  </w:num>
  <w:num w:numId="15">
    <w:abstractNumId w:val="32"/>
  </w:num>
  <w:num w:numId="16">
    <w:abstractNumId w:val="45"/>
  </w:num>
  <w:num w:numId="17">
    <w:abstractNumId w:val="10"/>
  </w:num>
  <w:num w:numId="18">
    <w:abstractNumId w:val="12"/>
  </w:num>
  <w:num w:numId="19">
    <w:abstractNumId w:val="33"/>
  </w:num>
  <w:num w:numId="20">
    <w:abstractNumId w:val="31"/>
  </w:num>
  <w:num w:numId="21">
    <w:abstractNumId w:val="5"/>
  </w:num>
  <w:num w:numId="22">
    <w:abstractNumId w:val="37"/>
  </w:num>
  <w:num w:numId="23">
    <w:abstractNumId w:val="53"/>
  </w:num>
  <w:num w:numId="24">
    <w:abstractNumId w:val="25"/>
  </w:num>
  <w:num w:numId="25">
    <w:abstractNumId w:val="16"/>
  </w:num>
  <w:num w:numId="26">
    <w:abstractNumId w:val="48"/>
  </w:num>
  <w:num w:numId="27">
    <w:abstractNumId w:val="26"/>
  </w:num>
  <w:num w:numId="28">
    <w:abstractNumId w:val="13"/>
  </w:num>
  <w:num w:numId="29">
    <w:abstractNumId w:val="41"/>
  </w:num>
  <w:num w:numId="30">
    <w:abstractNumId w:val="9"/>
  </w:num>
  <w:num w:numId="31">
    <w:abstractNumId w:val="38"/>
  </w:num>
  <w:num w:numId="32">
    <w:abstractNumId w:val="18"/>
  </w:num>
  <w:num w:numId="33">
    <w:abstractNumId w:val="40"/>
  </w:num>
  <w:num w:numId="34">
    <w:abstractNumId w:val="19"/>
  </w:num>
  <w:num w:numId="35">
    <w:abstractNumId w:val="14"/>
  </w:num>
  <w:num w:numId="36">
    <w:abstractNumId w:val="29"/>
  </w:num>
  <w:num w:numId="37">
    <w:abstractNumId w:val="49"/>
  </w:num>
  <w:num w:numId="38">
    <w:abstractNumId w:val="11"/>
  </w:num>
  <w:num w:numId="39">
    <w:abstractNumId w:val="54"/>
  </w:num>
  <w:num w:numId="40">
    <w:abstractNumId w:val="23"/>
  </w:num>
  <w:num w:numId="41">
    <w:abstractNumId w:val="27"/>
  </w:num>
  <w:num w:numId="42">
    <w:abstractNumId w:val="42"/>
  </w:num>
  <w:num w:numId="43">
    <w:abstractNumId w:val="15"/>
  </w:num>
  <w:num w:numId="44">
    <w:abstractNumId w:val="55"/>
  </w:num>
  <w:num w:numId="45">
    <w:abstractNumId w:val="50"/>
  </w:num>
  <w:num w:numId="46">
    <w:abstractNumId w:val="7"/>
  </w:num>
  <w:num w:numId="47">
    <w:abstractNumId w:val="21"/>
  </w:num>
  <w:num w:numId="48">
    <w:abstractNumId w:val="1"/>
  </w:num>
  <w:num w:numId="49">
    <w:abstractNumId w:val="28"/>
  </w:num>
  <w:num w:numId="50">
    <w:abstractNumId w:val="34"/>
  </w:num>
  <w:num w:numId="51">
    <w:abstractNumId w:val="30"/>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20"/>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t6qKYfkLP2IUXWoYKi1VKc6spJNd3711khZMQZNm2wUsvPDwLRbk8zafm8EKCntRz7p/bd5SxZazQCZg8h6IJg==" w:salt="VR+/xwSKrMWdDaQ5EJAHS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1AD6"/>
    <w:rsid w:val="000039C9"/>
    <w:rsid w:val="00004424"/>
    <w:rsid w:val="00015C99"/>
    <w:rsid w:val="00020B31"/>
    <w:rsid w:val="00024798"/>
    <w:rsid w:val="00036506"/>
    <w:rsid w:val="00047982"/>
    <w:rsid w:val="0005336E"/>
    <w:rsid w:val="000651CB"/>
    <w:rsid w:val="00084501"/>
    <w:rsid w:val="00096B4B"/>
    <w:rsid w:val="000A1B6D"/>
    <w:rsid w:val="000E37B1"/>
    <w:rsid w:val="000E4752"/>
    <w:rsid w:val="000E4F28"/>
    <w:rsid w:val="000E72F0"/>
    <w:rsid w:val="00101330"/>
    <w:rsid w:val="0010164E"/>
    <w:rsid w:val="00112AB3"/>
    <w:rsid w:val="001148D8"/>
    <w:rsid w:val="00124F6B"/>
    <w:rsid w:val="00126610"/>
    <w:rsid w:val="00131F80"/>
    <w:rsid w:val="00132BA6"/>
    <w:rsid w:val="00135272"/>
    <w:rsid w:val="00157FF4"/>
    <w:rsid w:val="00165785"/>
    <w:rsid w:val="00173017"/>
    <w:rsid w:val="001773ED"/>
    <w:rsid w:val="001A2290"/>
    <w:rsid w:val="001B499E"/>
    <w:rsid w:val="001C0C84"/>
    <w:rsid w:val="001E219B"/>
    <w:rsid w:val="001E4C19"/>
    <w:rsid w:val="001E527A"/>
    <w:rsid w:val="001F5A3B"/>
    <w:rsid w:val="002068CF"/>
    <w:rsid w:val="002177C4"/>
    <w:rsid w:val="00221539"/>
    <w:rsid w:val="00221D15"/>
    <w:rsid w:val="002443F2"/>
    <w:rsid w:val="00244E85"/>
    <w:rsid w:val="00250DDC"/>
    <w:rsid w:val="002538AF"/>
    <w:rsid w:val="002569A9"/>
    <w:rsid w:val="00256AE2"/>
    <w:rsid w:val="00260CC1"/>
    <w:rsid w:val="0026206C"/>
    <w:rsid w:val="002718CE"/>
    <w:rsid w:val="00276984"/>
    <w:rsid w:val="0028168C"/>
    <w:rsid w:val="00285B4E"/>
    <w:rsid w:val="002868D9"/>
    <w:rsid w:val="002A32DA"/>
    <w:rsid w:val="002A4A67"/>
    <w:rsid w:val="002C491C"/>
    <w:rsid w:val="002C5078"/>
    <w:rsid w:val="002C52E0"/>
    <w:rsid w:val="002D5E64"/>
    <w:rsid w:val="002F2396"/>
    <w:rsid w:val="003040D6"/>
    <w:rsid w:val="00310B48"/>
    <w:rsid w:val="003146E5"/>
    <w:rsid w:val="003263F0"/>
    <w:rsid w:val="003548F7"/>
    <w:rsid w:val="00356007"/>
    <w:rsid w:val="00360B0F"/>
    <w:rsid w:val="00363F48"/>
    <w:rsid w:val="00367BDA"/>
    <w:rsid w:val="003773D9"/>
    <w:rsid w:val="00380F4F"/>
    <w:rsid w:val="003820EA"/>
    <w:rsid w:val="003B7E8B"/>
    <w:rsid w:val="003C7E95"/>
    <w:rsid w:val="003D534D"/>
    <w:rsid w:val="003E6E74"/>
    <w:rsid w:val="003F1DE0"/>
    <w:rsid w:val="00402296"/>
    <w:rsid w:val="00407D05"/>
    <w:rsid w:val="00415AC8"/>
    <w:rsid w:val="00415E5A"/>
    <w:rsid w:val="004268D7"/>
    <w:rsid w:val="00450236"/>
    <w:rsid w:val="00452677"/>
    <w:rsid w:val="004670F0"/>
    <w:rsid w:val="00477503"/>
    <w:rsid w:val="00480FF7"/>
    <w:rsid w:val="0048157F"/>
    <w:rsid w:val="004A2AC0"/>
    <w:rsid w:val="004A48B8"/>
    <w:rsid w:val="004C62A9"/>
    <w:rsid w:val="004C66C9"/>
    <w:rsid w:val="004D390B"/>
    <w:rsid w:val="00507BFE"/>
    <w:rsid w:val="00513F00"/>
    <w:rsid w:val="00514827"/>
    <w:rsid w:val="00531025"/>
    <w:rsid w:val="0053403B"/>
    <w:rsid w:val="0054523C"/>
    <w:rsid w:val="00546692"/>
    <w:rsid w:val="005628CC"/>
    <w:rsid w:val="00576E23"/>
    <w:rsid w:val="00581072"/>
    <w:rsid w:val="00594A0F"/>
    <w:rsid w:val="005954BE"/>
    <w:rsid w:val="00595950"/>
    <w:rsid w:val="00596781"/>
    <w:rsid w:val="005A0EA4"/>
    <w:rsid w:val="005A5698"/>
    <w:rsid w:val="005C666B"/>
    <w:rsid w:val="005E67AA"/>
    <w:rsid w:val="005F2A67"/>
    <w:rsid w:val="00622C72"/>
    <w:rsid w:val="00633E2D"/>
    <w:rsid w:val="0063617C"/>
    <w:rsid w:val="00650216"/>
    <w:rsid w:val="00655F09"/>
    <w:rsid w:val="006715EF"/>
    <w:rsid w:val="00675538"/>
    <w:rsid w:val="006859AB"/>
    <w:rsid w:val="006916B3"/>
    <w:rsid w:val="006A3844"/>
    <w:rsid w:val="006A56BB"/>
    <w:rsid w:val="006B1C3B"/>
    <w:rsid w:val="006C2FD2"/>
    <w:rsid w:val="006C34EA"/>
    <w:rsid w:val="006C739C"/>
    <w:rsid w:val="006C7892"/>
    <w:rsid w:val="006D4EC6"/>
    <w:rsid w:val="006E0ACF"/>
    <w:rsid w:val="006F2E8D"/>
    <w:rsid w:val="00707829"/>
    <w:rsid w:val="00713989"/>
    <w:rsid w:val="00715D4E"/>
    <w:rsid w:val="00734E25"/>
    <w:rsid w:val="00736CFB"/>
    <w:rsid w:val="00742AF7"/>
    <w:rsid w:val="00755145"/>
    <w:rsid w:val="00756E46"/>
    <w:rsid w:val="0078486A"/>
    <w:rsid w:val="00795F8D"/>
    <w:rsid w:val="00796BD5"/>
    <w:rsid w:val="007A31AF"/>
    <w:rsid w:val="007B7EE2"/>
    <w:rsid w:val="007C05FE"/>
    <w:rsid w:val="007F56DB"/>
    <w:rsid w:val="00804FAF"/>
    <w:rsid w:val="008307FA"/>
    <w:rsid w:val="00830E86"/>
    <w:rsid w:val="00851444"/>
    <w:rsid w:val="00854C0B"/>
    <w:rsid w:val="00855CEC"/>
    <w:rsid w:val="00856863"/>
    <w:rsid w:val="00864B9D"/>
    <w:rsid w:val="008871DA"/>
    <w:rsid w:val="00890DB7"/>
    <w:rsid w:val="0089614D"/>
    <w:rsid w:val="008B1581"/>
    <w:rsid w:val="008C24CB"/>
    <w:rsid w:val="008D1822"/>
    <w:rsid w:val="008D5A84"/>
    <w:rsid w:val="008D5C1C"/>
    <w:rsid w:val="008D6F54"/>
    <w:rsid w:val="008E0054"/>
    <w:rsid w:val="008E1064"/>
    <w:rsid w:val="008E1098"/>
    <w:rsid w:val="008E34F1"/>
    <w:rsid w:val="008E3865"/>
    <w:rsid w:val="00904C3D"/>
    <w:rsid w:val="00940BE7"/>
    <w:rsid w:val="00944B1C"/>
    <w:rsid w:val="00950A51"/>
    <w:rsid w:val="00950B12"/>
    <w:rsid w:val="009516F3"/>
    <w:rsid w:val="00954BDF"/>
    <w:rsid w:val="00977033"/>
    <w:rsid w:val="00985AF8"/>
    <w:rsid w:val="00985DBB"/>
    <w:rsid w:val="00993C4C"/>
    <w:rsid w:val="00994DAE"/>
    <w:rsid w:val="00996281"/>
    <w:rsid w:val="009A1941"/>
    <w:rsid w:val="009A2F69"/>
    <w:rsid w:val="009A3804"/>
    <w:rsid w:val="009A5F4F"/>
    <w:rsid w:val="009B3F49"/>
    <w:rsid w:val="009B419C"/>
    <w:rsid w:val="009C28F3"/>
    <w:rsid w:val="009C4CEC"/>
    <w:rsid w:val="009D4A79"/>
    <w:rsid w:val="009E4802"/>
    <w:rsid w:val="00A15E74"/>
    <w:rsid w:val="00A22A51"/>
    <w:rsid w:val="00A327F6"/>
    <w:rsid w:val="00A35BBA"/>
    <w:rsid w:val="00A43DC3"/>
    <w:rsid w:val="00A476AD"/>
    <w:rsid w:val="00A62DBC"/>
    <w:rsid w:val="00A7747B"/>
    <w:rsid w:val="00A848B9"/>
    <w:rsid w:val="00AD67CC"/>
    <w:rsid w:val="00AE0B97"/>
    <w:rsid w:val="00AE3D4C"/>
    <w:rsid w:val="00AF3679"/>
    <w:rsid w:val="00AF5B57"/>
    <w:rsid w:val="00AF7A22"/>
    <w:rsid w:val="00B20AB3"/>
    <w:rsid w:val="00B331F6"/>
    <w:rsid w:val="00B41E97"/>
    <w:rsid w:val="00B5238B"/>
    <w:rsid w:val="00B53A70"/>
    <w:rsid w:val="00B61777"/>
    <w:rsid w:val="00B664F8"/>
    <w:rsid w:val="00B93A77"/>
    <w:rsid w:val="00BC1C08"/>
    <w:rsid w:val="00BC1D4A"/>
    <w:rsid w:val="00BD04C8"/>
    <w:rsid w:val="00BD49E9"/>
    <w:rsid w:val="00BE1C79"/>
    <w:rsid w:val="00BE4E38"/>
    <w:rsid w:val="00BE6EC2"/>
    <w:rsid w:val="00C02E9F"/>
    <w:rsid w:val="00C0690E"/>
    <w:rsid w:val="00C1461C"/>
    <w:rsid w:val="00C20C07"/>
    <w:rsid w:val="00C4006A"/>
    <w:rsid w:val="00C46125"/>
    <w:rsid w:val="00C64920"/>
    <w:rsid w:val="00C73C5C"/>
    <w:rsid w:val="00C9571B"/>
    <w:rsid w:val="00CB577E"/>
    <w:rsid w:val="00CB588D"/>
    <w:rsid w:val="00CB7BF1"/>
    <w:rsid w:val="00CC0902"/>
    <w:rsid w:val="00CC55E1"/>
    <w:rsid w:val="00CD4352"/>
    <w:rsid w:val="00CF75BC"/>
    <w:rsid w:val="00D16295"/>
    <w:rsid w:val="00D32BC6"/>
    <w:rsid w:val="00D35C9E"/>
    <w:rsid w:val="00D53C57"/>
    <w:rsid w:val="00D557E7"/>
    <w:rsid w:val="00D611F9"/>
    <w:rsid w:val="00D65A89"/>
    <w:rsid w:val="00D9092D"/>
    <w:rsid w:val="00D9422F"/>
    <w:rsid w:val="00D946C1"/>
    <w:rsid w:val="00D94D26"/>
    <w:rsid w:val="00DC691B"/>
    <w:rsid w:val="00DD2A8F"/>
    <w:rsid w:val="00DD65A4"/>
    <w:rsid w:val="00DE313E"/>
    <w:rsid w:val="00DF503E"/>
    <w:rsid w:val="00E0017B"/>
    <w:rsid w:val="00E13F75"/>
    <w:rsid w:val="00E16539"/>
    <w:rsid w:val="00E36209"/>
    <w:rsid w:val="00E45F4A"/>
    <w:rsid w:val="00E50F60"/>
    <w:rsid w:val="00E70362"/>
    <w:rsid w:val="00E81587"/>
    <w:rsid w:val="00E86575"/>
    <w:rsid w:val="00E865F9"/>
    <w:rsid w:val="00E874D1"/>
    <w:rsid w:val="00EC4267"/>
    <w:rsid w:val="00ED55EF"/>
    <w:rsid w:val="00EF33DB"/>
    <w:rsid w:val="00EF52B7"/>
    <w:rsid w:val="00F101A0"/>
    <w:rsid w:val="00F1227B"/>
    <w:rsid w:val="00F150F3"/>
    <w:rsid w:val="00F15453"/>
    <w:rsid w:val="00F165ED"/>
    <w:rsid w:val="00F23106"/>
    <w:rsid w:val="00F2439B"/>
    <w:rsid w:val="00F250BA"/>
    <w:rsid w:val="00F41E8E"/>
    <w:rsid w:val="00F441FA"/>
    <w:rsid w:val="00F57579"/>
    <w:rsid w:val="00F61DEF"/>
    <w:rsid w:val="00F62148"/>
    <w:rsid w:val="00F7520D"/>
    <w:rsid w:val="00F81B4B"/>
    <w:rsid w:val="00F91911"/>
    <w:rsid w:val="00F97FBB"/>
    <w:rsid w:val="00FA6A50"/>
    <w:rsid w:val="00FA7EDA"/>
    <w:rsid w:val="00FD6108"/>
    <w:rsid w:val="00FE23C9"/>
    <w:rsid w:val="00FE746D"/>
    <w:rsid w:val="00FF4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0F18-95D4-4A38-9F16-C88F2992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7888</Words>
  <Characters>47331</Characters>
  <Application>Microsoft Office Word</Application>
  <DocSecurity>8</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120</cp:revision>
  <cp:lastPrinted>2021-06-08T09:43:00Z</cp:lastPrinted>
  <dcterms:created xsi:type="dcterms:W3CDTF">2021-02-09T10:54:00Z</dcterms:created>
  <dcterms:modified xsi:type="dcterms:W3CDTF">2021-06-08T09:44:00Z</dcterms:modified>
</cp:coreProperties>
</file>