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08" w:rsidRDefault="006F2108" w:rsidP="006F2108">
      <w:pPr>
        <w:spacing w:after="160" w:line="256" w:lineRule="auto"/>
        <w:ind w:left="5954" w:hanging="5954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B227C">
        <w:rPr>
          <w:rFonts w:ascii="Arial" w:hAnsi="Arial" w:cs="Arial"/>
          <w:b/>
          <w:sz w:val="22"/>
          <w:szCs w:val="22"/>
        </w:rPr>
        <w:t>Dotyczy Pakietów nr 1 i 2</w:t>
      </w:r>
      <w:r w:rsidRPr="00DB22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>ZAŁĄCZNIK nr 1c do SWZ i do umowy</w:t>
      </w:r>
    </w:p>
    <w:p w:rsidR="006F2108" w:rsidRDefault="006F2108" w:rsidP="006F2108">
      <w:pPr>
        <w:spacing w:after="160" w:line="25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Hlk185509115"/>
      <w:r>
        <w:rPr>
          <w:rFonts w:ascii="Arial" w:eastAsia="Calibri" w:hAnsi="Arial" w:cs="Arial"/>
          <w:b/>
          <w:sz w:val="20"/>
          <w:szCs w:val="20"/>
          <w:lang w:eastAsia="en-US"/>
        </w:rPr>
        <w:t>Wymagania do Pakietów biurowych</w:t>
      </w:r>
    </w:p>
    <w:p w:rsidR="006F2108" w:rsidRPr="007450DD" w:rsidRDefault="006F2108" w:rsidP="006F2108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450DD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>MODYFIKACJA</w:t>
      </w:r>
    </w:p>
    <w:bookmarkEnd w:id="0"/>
    <w:p w:rsidR="006F2108" w:rsidRDefault="006F2108" w:rsidP="006F2108">
      <w:pPr>
        <w:spacing w:after="160" w:line="25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Pakiet biurowy musi spełniać następujące wymagania funkcjonalne poprzez wbudowane mechanizmy, bez użycia dodatkowych aplikacji: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1.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interfejs użytkownika w pełnej polskiej wersji językowej, 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2.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możliwość zdalnej instalacji pakietu oprogramowania poprzez zasady grup (GPO), 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3.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możliwość automatycznej instalacji komponentów pakietu (przy użyciu instalatora systemowego), 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5.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tworzenie i edycja dokumentów elektronicznych w ustalonym formacie, który spełnia następujące warunki: </w:t>
      </w:r>
    </w:p>
    <w:p w:rsidR="006F2108" w:rsidRDefault="006F2108" w:rsidP="006F2108">
      <w:pPr>
        <w:spacing w:after="160" w:line="25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5.1.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posiada kompletny i publicznie dostępny opis formatu, </w:t>
      </w:r>
    </w:p>
    <w:p w:rsidR="006F2108" w:rsidRDefault="006F2108" w:rsidP="006F2108">
      <w:pPr>
        <w:spacing w:after="160" w:line="25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5.2.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ma zdefiniowany układ informacji w postaci XML zgodnie z załącznikiem 2 do rozporządzenia Rady Ministrów z dnia 12 kwietnia 2012 r. w sprawie Krajowych Ram Interoperacyjności, minimalnych wymagań dla rejestrów publicznych i wymiany informacji w postaci elektronicznej oraz minimalnych wymagań dla systemów teleinformatycznych (Dz. U. z 2016 r., poz. 113), </w:t>
      </w:r>
    </w:p>
    <w:p w:rsidR="006F2108" w:rsidRDefault="006F2108" w:rsidP="006F2108">
      <w:pPr>
        <w:spacing w:after="160" w:line="25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5.3.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umożliwia wykorzystanie schematów XML, </w:t>
      </w:r>
    </w:p>
    <w:p w:rsidR="006F2108" w:rsidRDefault="006F2108" w:rsidP="006F2108">
      <w:pPr>
        <w:spacing w:after="160" w:line="25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5.4.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wspiera w swojej specyfikacji podpis elektroniczny w formacie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XAdES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</w:p>
    <w:p w:rsidR="006F2108" w:rsidRDefault="006F2108" w:rsidP="006F2108">
      <w:pPr>
        <w:spacing w:after="160" w:line="256" w:lineRule="auto"/>
        <w:ind w:left="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5.5.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możliwość nadawania uprawnień do modyfikacji dokumentów tworzonych za pomocą aplikacji wchodzących w skład pakietów oprogramowania,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6.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możliwość dodawania do dokumentów i arkuszy kalkulacyjnych podpisów elektronicznych pozwalających na stwierdzenie, czy dany dokument lub arkusz pochodzi z bezpiecznego źródła i nie został w żaden sposób zmieniony,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7.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możliwość automatycznego odzyskiwania dokumentów elektronicznych w wypadku nieoczekiwanego zamknięcia aplikacji, np. w wyniku wyłączenia zasilania komputera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8.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prawidłowe odczytywanie i zapisywanie danych w dokumentach w formatach: .DOC, .DOCX, .XLS, XLSX, XLSM, PPT, PPTX, w tym obsługa formatowania, makr, formuł i formularzy w plikach wytworzonych w MS Office, MS Office 2003, MS Office 2007, MS Office 2010, MS Office 2013, MS Office 2016, MS Office 2019, MS Office 2021, MS Office 365.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9.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automatyczne wyróżnianie i aktywowanie hiperłączy w dokumentach podczas edycji i odczytu,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10.oprogramowanie zawiera narzędzia programistyczne umożliwiające automatyzację pracy i wymianę danych pomiędzy dokumentami i aplikacjami (język makropoleceń, język skryptowy),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11.oprogramowanie umożliwia dostosowanie dokumentów i szablonów do potrzeb urzędu oraz udostępnianie narzędzia umożliwiające dystrybucję odpowiednich szablonów do właściwych odbiorców,</w:t>
      </w:r>
    </w:p>
    <w:p w:rsidR="006F2108" w:rsidRDefault="006F2108" w:rsidP="006F2108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12.dostępna jest pełna dokumentacja w języku polskim do aplikacji,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13.wszystkie aplikacje w pakiecie oprogramowania biurowego muszą być integralną częścią tego samego pakietu, współpracować ze sobą (osadzanie i wymiana danych), posiadać jednolity interfejs oraz ten sam jednolity sposób obsługi,</w:t>
      </w:r>
    </w:p>
    <w:p w:rsidR="006F2108" w:rsidRDefault="006F2108" w:rsidP="006F2108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14.pakiet zintegrowanych aplikacji biurowych, składa się z następujących aplikacji: 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14.1.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edytora tekstów, 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14.2.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arkusza kalkulacyjnego, 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14.3.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narzędzia do przygotowywania i prowadzenia prezentacji, 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14.4.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narzędzia do tworzenia drukowanych materiałów informacyjnych, 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14.5.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narzędzia do zarządzania informacją prywatą (pocztą elektroniczną, kalendarzem, kontaktami i zadaniami), 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14.6.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narzędzia do tworzenia notatek, przy pomocy klawiatury lub notatek odręcznych na ekranie urządzenia typu tablet PC z mechanizmem OCR,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15. Edytor tekstów musi umożliwiać: 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15.1.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edycję i formatowanie tekstu w języku polskim, przy czym zapewniona jest obsługa języka polskiego w zakresie sprawdzania pisowni i poprawności gramatycznej oraz funkcjonalność autokorekty i słownika wyrazów bliskoznacznych,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15.2.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wstawianie i formatowanie tabel i obiektów graficznych, powiększanie obiektów na cały ekran, wstawianie obrazów i klipów wideo online, prowadnice wyrównania ułatwiające zestawianie wykresów, zdjęć i diagramów z tekstem, 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15.3.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wstawianie tabel i wykresów z arkusza kalkulacyjnego, w tym tabel przestawnych, 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15.4.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wykonywanie korespondencji seryjnej bazującej na danych adresowych, np. pochodzących z arkusza kalkulacyjnego, bazy danych, narzędzia do zarządzania informacją prywatną, 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15.5.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automatyczne numerowanie rozdziałów, punktów, akapitów, tabel, rysunków, automatyczne tworzenie spisu treści, 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15.6.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określenie układu stron (pionowa/pozioma), formatowanie nagłówków i stopek stron, wydruk dokumentów,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15.7.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nagrywanie, tworzenie i edycję makr automatyzujących wykonywanie czynności, h) praca zespołowa, śledzenie i porównywanie zmian wprowadzonych w dokumencie przez użytkowników, prosta adiustacja zapewniająca przejrzysty widok dokumentu z zachowaniem oznaczeń miejsc wprowadzenia śledzonych zmian, komentarze z możliwością oznaczania ich jako gotowe i dodawania odpowiedzi, 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15.8.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pracę na dokumentach utworzonych przy pomocy Microsoft Word 2003, Microsoft Word 2007, Microsoft Word 2010, Microsoft Word 2013 i Microsoft Word 2016, z zapewnieniem bezproblemowej konwersji wszystkich elementów i atrybutów dokumentu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15.9.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otwieranie plików PDF i edytowanie ich zawartości (w tym akapitów, list, tabel), k) zabezpieczenie dokumentów hasłem przed odczytem oraz przed wprowadzaniem modyfikacji, 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15.10.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wymagana jest dostępność do oferowanego edytora tekstu bezpłatnych narzędzi umożliwiających wykorzystanie go jako środowiska udostępniającego formularze bazujące na schematach XML z centralnego repozytorium wzorów dokumentów elektronicznych (o którym mowa w art. 19b ustawy z dnia 17 lutego 2005 r. o informatyzacji działalności podmiotów realizujących zadania publiczne (Dz. U. z 2014 r., poz. 1114), które po wypełnieniu umożliwiają zapisanie pliku XML, 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15.11.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wymagana jest dostępność do oferowanego edytora tekstu bezpłatnych narzędzi umożliwiających wykorzystanie go jako środowiska udostępniającego formularze i </w:t>
      </w: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pozwalające zapisać plik wynikowy zgodnie z rozporządzeniem Prezesa Rady Ministrów z dnia 27 grudnia 2011 r. w sprawie wymagań technicznych dla dokumentów elektronicznych zawierających akty normatywne i inne akty prawne, dzienników urzędowych wydawanych w postaci elektronicznej oraz środków komunikacji elektronicznej i informatycznych nośników danych (Dz. U. z 2011 r., Nr 289, poz. 1699),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16. Arkusz kalkulacyjny musi umożliwiać: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16.1.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tworzenie arkuszy kalkulacyjnych zawierających teksty, dane liczbowe oraz formuły przeprowadzające operacje matematyczne, logiczne, tekstowe, statystyczne oraz operacje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16.2.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na danych finansowych i na miarach czasu, zapis wielu arkuszy kalkulacyjnych w jednym pliku, formatowanie czasu, daty i wartości finansowych z polskim formatem,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16.3.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tworzenie wykresów liniowych (wraz linią trendu), słupkowych, kołowych, automatyczne polecanie wykresu odpowiedniego do wprowadzonych danych,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16.4.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wyszukiwanie i zamianę danych, wykonywanie analiz danych przy użyciu formatowania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16.5.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warunkowego, nazywanie komórek arkusza i odwoływanie się w formułach po takiej nazwie,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16.6.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tworzenie raportów tabelarycznych,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16.7.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tworzenie raportów z zewnętrznych źródeł danych (inne arkusze kalkulacyjne, bazy danych zgodne z ODBC, pliki tekstowe, pliki XML,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webservice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), możliwość osadzania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16.8.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fragmentów arkusza na stronie sieci Web,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16.9.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obsługę kostek OLAP oraz tworzenie i edycję kwerend bazodanowych i webowych; narzędzia wspomagające analizę statystyczną i finansową, analizę wariantową i rozwiązywanie problemów optymalizacyjnych,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16.10.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tworzenie raportów tabeli przestawnych umożliwiających dynamiczną zmianę wymiarów oraz wykresów bazujących na danych z tabeli przestawnych, automatyczne polecanie sposobów podsumowania danych, korzystanie z możliwości tworzenia układu tabeli przestawnej wykorzystującej jedną lub wiele tabel z wykorzystaniem tej samej listy pól, tworzenie relacji między tabelami, tworzenie osi czasu tabeli przestawnej w celu interaktywnego filtrowania dat,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16.11.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nagrywanie, tworzenie i edycję makr automatyzujących wykonywanie czynności,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16.12.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zachowanie pełnej zgodności z formatami plików utworzonych za pomocą oprogramowania Microsoft Excel 2003, Microsoft Excel 2007, Microsoft Excel 2010, Microsoft Excel 2013 i Microsoft Excel 2016, MS Office 2019, MS Office 2021, MS Office 365 z uwzględnieniem poprawnej realizacji użytych w nich funkcji specjalnych i makropoleceń,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16.13.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zabezpieczenie dokumentów hasłem przed odczytem oraz przed wprowadzaniem modyfikacji,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17. Narzędzie do przygotowywania i prowadzenia prezentacji musi umożliwiać: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17.1.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przygotowywanie prezentacji multimedialnych, które będą prezentowane przy użyciu projektora multimedialnego, na monitorze lub tablecie,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17.2.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drukowanie w formacie umożliwiającym robienie notatek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17.3.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zapisanie jako prezentacja tylko do odczytu,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17.4.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umieszczanie i formatowanie tekstów, obiektów graficznych, tabel, nagrań dźwiękowych i wideo, korzystanie z formatu panoramicznego i rozdzielczości HD, nagrywanie narracji i dołączanie jej do prezentacji, ułatwienia wyrównywania obiektów i stosowania jednakowych odstępów,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17.5.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umieszczanie tabel i wykresów pochodzących z arkusza kalkulacyjnego, odświeżenie wykresu znajdującego się w prezentacji po zmianie danych w źródłowym arkuszu kalkulacyjnym,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17.6.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możliwość tworzenia animacji obiektów i całych slajdów,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17.7.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prowadzenie prezentacji w trybie prezentera, gdzie slajdy są widoczne na jednym monitorze lub projektorze, a na drugim widoczne są slajdy i notatki prezentera,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17.8.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pełna zgodność z formatami plików utworzonych za pomocą oprogramowania MS PowerPoint 2003, MS PowerPoint 2007, MS PowerPoint 2010, MS PowerPoint 2013 i MS PowerPoint 2016, MS Office 2019, MS Office 2021, MS Office 365.</w:t>
      </w:r>
    </w:p>
    <w:p w:rsidR="006F2108" w:rsidRPr="00D72AD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trike/>
          <w:sz w:val="22"/>
          <w:szCs w:val="22"/>
          <w:highlight w:val="yellow"/>
          <w:lang w:eastAsia="en-US"/>
        </w:rPr>
      </w:pPr>
      <w:r w:rsidRPr="00D72AD8">
        <w:rPr>
          <w:rFonts w:ascii="Arial" w:eastAsia="Calibri" w:hAnsi="Arial" w:cs="Arial"/>
          <w:strike/>
          <w:sz w:val="22"/>
          <w:szCs w:val="22"/>
          <w:highlight w:val="yellow"/>
          <w:lang w:eastAsia="en-US"/>
        </w:rPr>
        <w:t>18. Narzędzie do tworzenia drukowanych materiałów informacyjnych umożliwia:</w:t>
      </w:r>
    </w:p>
    <w:p w:rsidR="006F2108" w:rsidRPr="00D72AD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</w:pP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>18.1.</w:t>
      </w: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ab/>
        <w:t xml:space="preserve">elementów po całej stronie publikacji, tworzenie tła z obrazów, stosowanie efektów do obrazów i tekstu (np. cienia, odbicia, poświaty, obrotów 3-W), </w:t>
      </w:r>
    </w:p>
    <w:p w:rsidR="006F2108" w:rsidRPr="00D72AD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</w:pP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>18.2.</w:t>
      </w: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ab/>
        <w:t xml:space="preserve">wydruk publikacji, wykorzystanie mechanizmu a) tworzenie i edycję drukowanych materiałów informacyjnych, podział treści na kolumny, umieszczanie elementów graficznych, </w:t>
      </w:r>
    </w:p>
    <w:p w:rsidR="006F2108" w:rsidRPr="00D72AD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</w:pP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>18.3.</w:t>
      </w: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ab/>
        <w:t xml:space="preserve">tworzenie materiałów przy użyciu dostępnych z narzędziem szablonów: broszur, biuletynów, katalogów, </w:t>
      </w:r>
    </w:p>
    <w:p w:rsidR="006F2108" w:rsidRPr="00D72AD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</w:pP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>18.4.</w:t>
      </w: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ab/>
        <w:t xml:space="preserve">płynne przesuwanie korespondencji seryjnej, </w:t>
      </w:r>
    </w:p>
    <w:p w:rsidR="006F2108" w:rsidRPr="00D72AD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</w:pP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>18.5.</w:t>
      </w: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ab/>
        <w:t>eksport publikacji do formatu PDF oraz TIFF,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</w:pP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>18.6.</w:t>
      </w:r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ab/>
        <w:t xml:space="preserve"> możliwość przygotowywania materiałów do wy</w:t>
      </w:r>
      <w:bookmarkStart w:id="1" w:name="_GoBack"/>
      <w:bookmarkEnd w:id="1"/>
      <w:r w:rsidRPr="00D72AD8"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  <w:t>druku w standardzie CMYK,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trike/>
          <w:sz w:val="20"/>
          <w:szCs w:val="20"/>
          <w:highlight w:val="yellow"/>
          <w:lang w:eastAsia="en-US"/>
        </w:rPr>
      </w:pPr>
    </w:p>
    <w:p w:rsidR="006F2108" w:rsidRDefault="006F2108" w:rsidP="006F2108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  <w:highlight w:val="yellow"/>
        </w:rPr>
      </w:pPr>
      <w:bookmarkStart w:id="2" w:name="_Hlk185508754"/>
      <w:r w:rsidRPr="00D72AD8">
        <w:rPr>
          <w:rFonts w:ascii="Arial" w:hAnsi="Arial" w:cs="Arial"/>
          <w:sz w:val="20"/>
          <w:szCs w:val="20"/>
          <w:highlight w:val="yellow"/>
        </w:rPr>
        <w:t xml:space="preserve">Narzędzie do organizowania spotkań online (program ma zostać dostarczony w ramach pakietu pozostałych narzędzi biurowych i przypisany do konta </w:t>
      </w:r>
      <w:proofErr w:type="spellStart"/>
      <w:r w:rsidRPr="00D72AD8">
        <w:rPr>
          <w:rFonts w:ascii="Arial" w:hAnsi="Arial" w:cs="Arial"/>
          <w:sz w:val="20"/>
          <w:szCs w:val="20"/>
          <w:highlight w:val="yellow"/>
        </w:rPr>
        <w:t>Tenant</w:t>
      </w:r>
      <w:proofErr w:type="spellEnd"/>
      <w:r w:rsidRPr="00D72AD8">
        <w:rPr>
          <w:rFonts w:ascii="Arial" w:hAnsi="Arial" w:cs="Arial"/>
          <w:sz w:val="20"/>
          <w:szCs w:val="20"/>
          <w:highlight w:val="yellow"/>
        </w:rPr>
        <w:t>) z możliwością:</w:t>
      </w:r>
    </w:p>
    <w:p w:rsidR="006F2108" w:rsidRPr="00D72AD8" w:rsidRDefault="006F2108" w:rsidP="006F2108">
      <w:pPr>
        <w:pStyle w:val="Akapitzlist"/>
        <w:suppressAutoHyphens/>
        <w:spacing w:after="0"/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0"/>
          <w:numId w:val="2"/>
        </w:numPr>
        <w:suppressAutoHyphens/>
        <w:spacing w:after="0"/>
        <w:ind w:left="720" w:hanging="578"/>
        <w:jc w:val="both"/>
        <w:rPr>
          <w:rFonts w:ascii="Arial" w:hAnsi="Arial" w:cs="Arial"/>
          <w:vanish/>
          <w:sz w:val="20"/>
          <w:szCs w:val="20"/>
          <w:highlight w:val="yellow"/>
        </w:rPr>
      </w:pPr>
    </w:p>
    <w:p w:rsidR="006F2108" w:rsidRPr="00D72AD8" w:rsidRDefault="006F2108" w:rsidP="006F2108">
      <w:pPr>
        <w:pStyle w:val="Akapitzlist"/>
        <w:numPr>
          <w:ilvl w:val="1"/>
          <w:numId w:val="2"/>
        </w:numPr>
        <w:suppressAutoHyphens/>
        <w:spacing w:after="0"/>
        <w:ind w:left="567" w:hanging="436"/>
        <w:jc w:val="both"/>
        <w:rPr>
          <w:rFonts w:ascii="Arial" w:hAnsi="Arial" w:cs="Arial"/>
          <w:sz w:val="20"/>
          <w:szCs w:val="20"/>
          <w:highlight w:val="yellow"/>
        </w:rPr>
      </w:pPr>
      <w:r w:rsidRPr="00D72AD8">
        <w:rPr>
          <w:rFonts w:ascii="Arial" w:hAnsi="Arial" w:cs="Arial"/>
          <w:sz w:val="20"/>
          <w:szCs w:val="20"/>
          <w:highlight w:val="yellow"/>
        </w:rPr>
        <w:t>połączenie konferencyjne głosowe oraz wideo,</w:t>
      </w:r>
    </w:p>
    <w:p w:rsidR="006F2108" w:rsidRPr="00D72AD8" w:rsidRDefault="006F2108" w:rsidP="006F2108">
      <w:pPr>
        <w:pStyle w:val="Akapitzlist"/>
        <w:numPr>
          <w:ilvl w:val="1"/>
          <w:numId w:val="2"/>
        </w:numPr>
        <w:suppressAutoHyphens/>
        <w:spacing w:after="0"/>
        <w:ind w:left="567" w:hanging="436"/>
        <w:jc w:val="both"/>
        <w:rPr>
          <w:rFonts w:ascii="Arial" w:hAnsi="Arial" w:cs="Arial"/>
          <w:sz w:val="20"/>
          <w:szCs w:val="20"/>
          <w:highlight w:val="yellow"/>
        </w:rPr>
      </w:pPr>
      <w:r w:rsidRPr="00D72AD8">
        <w:rPr>
          <w:rFonts w:ascii="Arial" w:hAnsi="Arial" w:cs="Arial"/>
          <w:sz w:val="20"/>
          <w:szCs w:val="20"/>
          <w:highlight w:val="yellow"/>
        </w:rPr>
        <w:t>czat,</w:t>
      </w:r>
    </w:p>
    <w:p w:rsidR="006F2108" w:rsidRPr="00D72AD8" w:rsidRDefault="006F2108" w:rsidP="006F2108">
      <w:pPr>
        <w:pStyle w:val="Akapitzlist"/>
        <w:numPr>
          <w:ilvl w:val="1"/>
          <w:numId w:val="2"/>
        </w:numPr>
        <w:suppressAutoHyphens/>
        <w:spacing w:after="0"/>
        <w:ind w:left="567" w:hanging="436"/>
        <w:jc w:val="both"/>
        <w:rPr>
          <w:rFonts w:ascii="Arial" w:hAnsi="Arial" w:cs="Arial"/>
          <w:sz w:val="20"/>
          <w:szCs w:val="20"/>
          <w:highlight w:val="yellow"/>
        </w:rPr>
      </w:pPr>
      <w:r w:rsidRPr="00D72AD8">
        <w:rPr>
          <w:rFonts w:ascii="Arial" w:hAnsi="Arial" w:cs="Arial"/>
          <w:sz w:val="20"/>
          <w:szCs w:val="20"/>
          <w:highlight w:val="yellow"/>
        </w:rPr>
        <w:t>tworzenie grup i zespołów w ramach organizacji,</w:t>
      </w:r>
    </w:p>
    <w:p w:rsidR="006F2108" w:rsidRPr="00D72AD8" w:rsidRDefault="006F2108" w:rsidP="006F2108">
      <w:pPr>
        <w:pStyle w:val="Akapitzlist"/>
        <w:numPr>
          <w:ilvl w:val="1"/>
          <w:numId w:val="2"/>
        </w:numPr>
        <w:suppressAutoHyphens/>
        <w:spacing w:after="0"/>
        <w:ind w:left="567" w:hanging="436"/>
        <w:jc w:val="both"/>
        <w:rPr>
          <w:rFonts w:ascii="Arial" w:hAnsi="Arial" w:cs="Arial"/>
          <w:sz w:val="20"/>
          <w:szCs w:val="20"/>
          <w:highlight w:val="yellow"/>
        </w:rPr>
      </w:pPr>
      <w:r w:rsidRPr="00D72AD8">
        <w:rPr>
          <w:rFonts w:ascii="Arial" w:hAnsi="Arial" w:cs="Arial"/>
          <w:sz w:val="20"/>
          <w:szCs w:val="20"/>
          <w:highlight w:val="yellow"/>
        </w:rPr>
        <w:t>współpraca na plikach, udostępnianie i postępowanie z plikami w czasie rzeczywistym przez użytkowników,</w:t>
      </w:r>
    </w:p>
    <w:p w:rsidR="006F2108" w:rsidRPr="00D72AD8" w:rsidRDefault="006F2108" w:rsidP="006F2108">
      <w:pPr>
        <w:pStyle w:val="Akapitzlist"/>
        <w:numPr>
          <w:ilvl w:val="1"/>
          <w:numId w:val="2"/>
        </w:numPr>
        <w:suppressAutoHyphens/>
        <w:spacing w:after="0"/>
        <w:ind w:left="567" w:hanging="436"/>
        <w:jc w:val="both"/>
        <w:rPr>
          <w:rFonts w:ascii="Arial" w:hAnsi="Arial" w:cs="Arial"/>
          <w:sz w:val="20"/>
          <w:szCs w:val="20"/>
          <w:highlight w:val="yellow"/>
        </w:rPr>
      </w:pPr>
      <w:r w:rsidRPr="00D72AD8">
        <w:rPr>
          <w:rFonts w:ascii="Arial" w:hAnsi="Arial" w:cs="Arial"/>
          <w:sz w:val="20"/>
          <w:szCs w:val="20"/>
          <w:highlight w:val="yellow"/>
        </w:rPr>
        <w:t>korzystanie z kalendarza oraz możliwość udostępniania go innym użytkownikom,</w:t>
      </w:r>
    </w:p>
    <w:p w:rsidR="006F2108" w:rsidRPr="00D72AD8" w:rsidRDefault="006F2108" w:rsidP="006F2108">
      <w:pPr>
        <w:pStyle w:val="Akapitzlist"/>
        <w:numPr>
          <w:ilvl w:val="1"/>
          <w:numId w:val="2"/>
        </w:numPr>
        <w:suppressAutoHyphens/>
        <w:spacing w:after="0"/>
        <w:ind w:left="567" w:hanging="436"/>
        <w:jc w:val="both"/>
        <w:rPr>
          <w:rFonts w:ascii="Arial" w:hAnsi="Arial" w:cs="Arial"/>
          <w:sz w:val="20"/>
          <w:szCs w:val="20"/>
          <w:highlight w:val="yellow"/>
        </w:rPr>
      </w:pPr>
      <w:r w:rsidRPr="00D72AD8">
        <w:rPr>
          <w:rFonts w:ascii="Arial" w:hAnsi="Arial" w:cs="Arial"/>
          <w:sz w:val="20"/>
          <w:szCs w:val="20"/>
          <w:highlight w:val="yellow"/>
        </w:rPr>
        <w:t>udostępniania pulpitu komputera,</w:t>
      </w:r>
    </w:p>
    <w:p w:rsidR="006F2108" w:rsidRPr="00D72AD8" w:rsidRDefault="006F2108" w:rsidP="006F2108">
      <w:pPr>
        <w:pStyle w:val="Akapitzlist"/>
        <w:numPr>
          <w:ilvl w:val="1"/>
          <w:numId w:val="2"/>
        </w:numPr>
        <w:suppressAutoHyphens/>
        <w:spacing w:after="0"/>
        <w:ind w:left="567" w:hanging="436"/>
        <w:jc w:val="both"/>
        <w:rPr>
          <w:rFonts w:ascii="Arial" w:hAnsi="Arial" w:cs="Arial"/>
          <w:sz w:val="20"/>
          <w:szCs w:val="20"/>
          <w:highlight w:val="yellow"/>
        </w:rPr>
      </w:pPr>
      <w:r w:rsidRPr="00D72AD8">
        <w:rPr>
          <w:rFonts w:ascii="Arial" w:hAnsi="Arial" w:cs="Arial"/>
          <w:sz w:val="20"/>
          <w:szCs w:val="20"/>
          <w:highlight w:val="yellow"/>
        </w:rPr>
        <w:t>widokiem z kamery,</w:t>
      </w:r>
    </w:p>
    <w:p w:rsidR="006F2108" w:rsidRPr="00D72AD8" w:rsidRDefault="006F2108" w:rsidP="006F2108">
      <w:pPr>
        <w:pStyle w:val="Akapitzlist"/>
        <w:numPr>
          <w:ilvl w:val="1"/>
          <w:numId w:val="2"/>
        </w:numPr>
        <w:suppressAutoHyphens/>
        <w:spacing w:after="0"/>
        <w:ind w:left="567" w:hanging="436"/>
        <w:jc w:val="both"/>
        <w:rPr>
          <w:rFonts w:ascii="Arial" w:hAnsi="Arial" w:cs="Arial"/>
          <w:sz w:val="20"/>
          <w:szCs w:val="20"/>
          <w:highlight w:val="yellow"/>
        </w:rPr>
      </w:pPr>
      <w:r w:rsidRPr="00D72AD8">
        <w:rPr>
          <w:rFonts w:ascii="Arial" w:hAnsi="Arial" w:cs="Arial"/>
          <w:sz w:val="20"/>
          <w:szCs w:val="20"/>
          <w:highlight w:val="yellow"/>
        </w:rPr>
        <w:t>trybem prezentacji</w:t>
      </w:r>
      <w:bookmarkEnd w:id="2"/>
    </w:p>
    <w:p w:rsidR="006F2108" w:rsidRPr="00D72AD8" w:rsidRDefault="006F2108" w:rsidP="006F2108">
      <w:pPr>
        <w:pStyle w:val="Akapitzlist"/>
        <w:suppressAutoHyphens/>
        <w:spacing w:after="0"/>
        <w:ind w:left="1276"/>
        <w:jc w:val="both"/>
        <w:rPr>
          <w:rFonts w:ascii="Arial" w:hAnsi="Arial" w:cs="Arial"/>
          <w:color w:val="FF0000"/>
          <w:sz w:val="20"/>
          <w:szCs w:val="20"/>
        </w:rPr>
      </w:pP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19. Narzędzie do zarządzania informacją prywatną (pocztą elektroniczną, kalendarzem, kontaktami i zadaniami) musi umożliwiać: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19.1.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pobieranie i wysyłanie poczty elektronicznej z serwera pocztowego MS Exchange 2010/2013/2016,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19.2.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przechowywanie wiadomości na serwerze lub w lokalnym pliku tworzonym z zastosowaniem efektywnej kompresji danych,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19.3.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filtrowanie niechcianej poczty elektronicznej (SPAM) oraz określanie listy zablokowanych i bezpiecznych nadawców,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19.4.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tworzenie katalogów, pozwalających katalogować pocztę elektroniczną, automatyczne grupowanie poczty o tym samym tytule,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19.5.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wspieranie funkcji asystenta podczas nieobecności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19.6.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tworzenie reguł przenoszących automatycznie nową pocztę elektroniczną do określonych katalogów bazując na słowach zawartych w tytule, adresie nadawcy i odbiorcy, oflagowanie </w:t>
      </w: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poczty elektronicznej z określeniem terminu przypomnienia, oddzielnie dla nadawcy i adresatów,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19.7.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zarządzanie kalendarzem, udostępnianie kalendarza innym użytkownikom z możliwością określania uprawnień użytkowników, przeglądanie kalendarza innych użytkowników,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19.8.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zapraszanie uczestników na spotkania, co po ich akceptacji powoduje automatyczne wprowadzenie spotkania w ich kalendarzach,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19.9.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zarządzanie listą zadań, zlecanie zadań innym użytkownikom,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19.10.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zarządzanie listą kontaktów, udostępnianie listy kontaktów innym użytkownikom, przeglądanie listy kontaktów innych użytkowników, możliwość przesyłania kontaktów innym użytkowników,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20. Narzędzie do tworzenia notatek musi umożliwiać:</w:t>
      </w:r>
    </w:p>
    <w:p w:rsidR="006F2108" w:rsidRDefault="006F2108" w:rsidP="006F2108">
      <w:pPr>
        <w:spacing w:after="160" w:line="256" w:lineRule="auto"/>
        <w:ind w:left="709" w:hanging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20.1.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rejestrowanie informacji przy pomocy klawiatury lub notatek odręcznych na ekranie urządzenia typu tablet PC z mechanizmem OCR,</w:t>
      </w:r>
    </w:p>
    <w:p w:rsidR="006F2108" w:rsidRDefault="006F2108" w:rsidP="006F2108">
      <w:pPr>
        <w:spacing w:after="160" w:line="256" w:lineRule="auto"/>
        <w:ind w:left="284" w:hanging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20.2.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przechowywanie i udostępnianie informacji,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D1500A">
        <w:rPr>
          <w:rFonts w:ascii="Arial" w:eastAsia="Calibri" w:hAnsi="Arial" w:cs="Arial"/>
          <w:sz w:val="22"/>
          <w:szCs w:val="22"/>
          <w:lang w:eastAsia="en-US"/>
        </w:rPr>
        <w:t>21. Zamawiający dopuszcza wersję edukacyjną pakietu biurowego.</w:t>
      </w:r>
    </w:p>
    <w:p w:rsidR="006F2108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22. Zamawiający wymaga by licencje pakietu biurowego był zarejestrowane na koncie firmowy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tenant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) Microsoft zamawiającego.</w:t>
      </w:r>
    </w:p>
    <w:p w:rsidR="006F2108" w:rsidRPr="00D1500A" w:rsidRDefault="006F2108" w:rsidP="006F2108">
      <w:pPr>
        <w:spacing w:after="160" w:line="256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23. Licencja na pakiet biurowy musi być dożywotnia i nie może wymagać dodatkowych miesięcznych/rocznych opłat w celu podtrzymania pełnej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funkcjolnalno</w:t>
      </w:r>
      <w:r>
        <w:rPr>
          <w:rFonts w:ascii="Arial" w:eastAsia="Calibri" w:hAnsi="Arial" w:cs="Arial"/>
          <w:sz w:val="22"/>
          <w:szCs w:val="22"/>
          <w:lang w:eastAsia="en-US"/>
        </w:rPr>
        <w:t>ś</w:t>
      </w:r>
      <w:r>
        <w:rPr>
          <w:rFonts w:ascii="Arial" w:eastAsia="Calibri" w:hAnsi="Arial" w:cs="Arial"/>
          <w:sz w:val="22"/>
          <w:szCs w:val="22"/>
          <w:lang w:eastAsia="en-US"/>
        </w:rPr>
        <w:t>ci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pakietu.</w:t>
      </w:r>
    </w:p>
    <w:p w:rsidR="00270EA6" w:rsidRDefault="00270EA6"/>
    <w:sectPr w:rsidR="0027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0A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C118EA"/>
    <w:multiLevelType w:val="hybridMultilevel"/>
    <w:tmpl w:val="7CE4C654"/>
    <w:lvl w:ilvl="0" w:tplc="D3201C7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08"/>
    <w:rsid w:val="00270EA6"/>
    <w:rsid w:val="006F2108"/>
    <w:rsid w:val="008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3793"/>
  <w15:chartTrackingRefBased/>
  <w15:docId w15:val="{49DCD604-90A1-4204-9B28-8B2C41F0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6F2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F21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Katarzyna</dc:creator>
  <cp:keywords/>
  <dc:description/>
  <cp:lastModifiedBy>Staniszewska Katarzyna</cp:lastModifiedBy>
  <cp:revision>1</cp:revision>
  <dcterms:created xsi:type="dcterms:W3CDTF">2024-12-20T06:33:00Z</dcterms:created>
  <dcterms:modified xsi:type="dcterms:W3CDTF">2024-12-20T06:34:00Z</dcterms:modified>
</cp:coreProperties>
</file>