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08" w:rsidRPr="00050108" w:rsidRDefault="00D53A0C" w:rsidP="00370F30">
      <w:pPr>
        <w:keepNext/>
        <w:widowControl w:val="0"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</w:t>
      </w:r>
      <w:r w:rsidRPr="00D53A0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YKONANIE I ODNOW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</w:t>
      </w:r>
      <w:r w:rsidRPr="00D53A0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OZNAKOWANIA POZIOMEGO NA DROGACH </w:t>
      </w:r>
      <w:r w:rsidR="00370F3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POWIATOWYCH</w:t>
      </w:r>
      <w:r w:rsidRPr="00D53A0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ADMINISTROWANYCH PRZEZ </w:t>
      </w:r>
      <w:r w:rsidR="00370F3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ZARZĄD DRÓG POWIATOWYCH W OSTROŁĘCE</w:t>
      </w:r>
    </w:p>
    <w:p w:rsidR="00050108" w:rsidRPr="00050108" w:rsidRDefault="00050108" w:rsidP="000501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0108" w:rsidRPr="00050108" w:rsidRDefault="00050108" w:rsidP="00050108">
      <w:pPr>
        <w:keepNext/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bookmarkStart w:id="0" w:name="_Toc316558858"/>
      <w:r w:rsidRPr="0005010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1. WSTĘP</w:t>
      </w:r>
      <w:bookmarkEnd w:id="0"/>
    </w:p>
    <w:p w:rsidR="00050108" w:rsidRPr="00050108" w:rsidRDefault="00050108" w:rsidP="00050108">
      <w:pPr>
        <w:keepNext/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8"/>
          <w:szCs w:val="20"/>
          <w:lang w:eastAsia="pl-PL"/>
        </w:rPr>
      </w:pPr>
      <w:bookmarkStart w:id="1" w:name="_Toc316558859"/>
      <w:r w:rsidRPr="00050108">
        <w:rPr>
          <w:rFonts w:ascii="Tahoma" w:eastAsia="Times New Roman" w:hAnsi="Tahoma" w:cs="Tahoma"/>
          <w:b/>
          <w:snapToGrid w:val="0"/>
          <w:sz w:val="18"/>
          <w:szCs w:val="20"/>
          <w:lang w:eastAsia="pl-PL"/>
        </w:rPr>
        <w:t>1.1. Przedmiot SST</w:t>
      </w:r>
      <w:bookmarkEnd w:id="1"/>
    </w:p>
    <w:p w:rsidR="000D00A7" w:rsidRDefault="00050108" w:rsidP="000D00A7">
      <w:pPr>
        <w:spacing w:after="0"/>
        <w:jc w:val="both"/>
        <w:rPr>
          <w:rFonts w:ascii="Tahoma" w:hAnsi="Tahoma" w:cs="Tahoma"/>
          <w:sz w:val="18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Przedmiotem niniejszej szczegółowej specyfikacji technicznej (SST) są wymagania dotyczące </w:t>
      </w:r>
      <w:r w:rsidR="00C11745" w:rsidRPr="00050108">
        <w:rPr>
          <w:rFonts w:ascii="Tahoma" w:eastAsia="Times New Roman" w:hAnsi="Tahoma" w:cs="Tahoma"/>
          <w:sz w:val="18"/>
          <w:szCs w:val="20"/>
          <w:lang w:eastAsia="pl-PL"/>
        </w:rPr>
        <w:t>realizacji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i odbioru robót związanych z </w:t>
      </w:r>
      <w:r w:rsidR="00C11745">
        <w:rPr>
          <w:rFonts w:ascii="Tahoma" w:eastAsia="Times New Roman" w:hAnsi="Tahoma" w:cs="Tahoma"/>
          <w:sz w:val="18"/>
          <w:szCs w:val="20"/>
          <w:lang w:eastAsia="pl-PL"/>
        </w:rPr>
        <w:t xml:space="preserve">wykonaniem i odnową oznakowania poziomego na drogach </w:t>
      </w:r>
      <w:r w:rsidR="00370F30">
        <w:rPr>
          <w:rFonts w:ascii="Tahoma" w:eastAsia="Times New Roman" w:hAnsi="Tahoma" w:cs="Tahoma"/>
          <w:sz w:val="18"/>
          <w:szCs w:val="20"/>
          <w:lang w:eastAsia="pl-PL"/>
        </w:rPr>
        <w:t>powiatowych</w:t>
      </w:r>
      <w:r w:rsidR="00C11745">
        <w:rPr>
          <w:rFonts w:ascii="Tahoma" w:eastAsia="Times New Roman" w:hAnsi="Tahoma" w:cs="Tahoma"/>
          <w:sz w:val="18"/>
          <w:szCs w:val="20"/>
          <w:lang w:eastAsia="pl-PL"/>
        </w:rPr>
        <w:t xml:space="preserve"> administrowanych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="00931992" w:rsidRPr="003506BD">
        <w:rPr>
          <w:rFonts w:ascii="Tahoma" w:hAnsi="Tahoma" w:cs="Tahoma"/>
          <w:sz w:val="18"/>
        </w:rPr>
        <w:t xml:space="preserve">przez </w:t>
      </w:r>
      <w:bookmarkStart w:id="2" w:name="_Toc316558860"/>
      <w:r w:rsidR="00370F30">
        <w:rPr>
          <w:rFonts w:ascii="Tahoma" w:hAnsi="Tahoma" w:cs="Tahoma"/>
          <w:sz w:val="18"/>
        </w:rPr>
        <w:t>Zarząd Dróg Powiatowych w Ostrołęce</w:t>
      </w:r>
      <w:r w:rsidR="00931C10">
        <w:rPr>
          <w:rFonts w:ascii="Tahoma" w:hAnsi="Tahoma" w:cs="Tahoma"/>
          <w:sz w:val="18"/>
        </w:rPr>
        <w:t>.</w:t>
      </w:r>
    </w:p>
    <w:p w:rsidR="00050108" w:rsidRPr="00050108" w:rsidRDefault="00050108" w:rsidP="00050108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1.2. Zakres stosowania SST</w:t>
      </w:r>
      <w:bookmarkEnd w:id="2"/>
    </w:p>
    <w:p w:rsidR="00050108" w:rsidRPr="00050108" w:rsidRDefault="00050108" w:rsidP="000501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            Szczegółowa specyfikacja techniczna (SST) jest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stosowana, jako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dokument przetargowy i kontraktowy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przy zlecaniu i realizacji robót na drogach krajowych.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</w:r>
    </w:p>
    <w:p w:rsidR="00050108" w:rsidRPr="00050108" w:rsidRDefault="00050108" w:rsidP="000501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3" w:name="_Toc316558861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1.3. Zakres robót objętych SST</w:t>
      </w:r>
      <w:bookmarkEnd w:id="3"/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Ustalenia zawarte w niniejszej specyfikacji dotyczą zasad prowadzenia robót związanych z </w:t>
      </w:r>
      <w:r w:rsidR="003C2C3D">
        <w:rPr>
          <w:rFonts w:ascii="Tahoma" w:eastAsia="Times New Roman" w:hAnsi="Tahoma" w:cs="Tahoma"/>
          <w:sz w:val="18"/>
          <w:szCs w:val="20"/>
          <w:lang w:eastAsia="pl-PL"/>
        </w:rPr>
        <w:t xml:space="preserve">wykonaniem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="003C2C3D">
        <w:rPr>
          <w:rFonts w:ascii="Tahoma" w:eastAsia="Times New Roman" w:hAnsi="Tahoma" w:cs="Tahoma"/>
          <w:sz w:val="18"/>
          <w:szCs w:val="20"/>
          <w:lang w:eastAsia="pl-PL"/>
        </w:rPr>
        <w:t>i odnową oznakowania poziomego</w:t>
      </w:r>
      <w:r w:rsidR="003C2C3D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="003C2C3D">
        <w:rPr>
          <w:rFonts w:ascii="Tahoma" w:eastAsia="Times New Roman" w:hAnsi="Tahoma" w:cs="Tahoma"/>
          <w:sz w:val="18"/>
          <w:szCs w:val="20"/>
          <w:lang w:eastAsia="pl-PL"/>
        </w:rPr>
        <w:t xml:space="preserve">na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drogach o nawierzchni twardej, gdy zaistnieje potrzeba:</w:t>
      </w:r>
    </w:p>
    <w:p w:rsidR="00050108" w:rsidRDefault="003C2C3D" w:rsidP="00AA62AD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20"/>
          <w:lang w:eastAsia="pl-PL"/>
        </w:rPr>
        <w:t xml:space="preserve">wykonania i </w:t>
      </w:r>
      <w:r w:rsidR="00050108" w:rsidRPr="00050108">
        <w:rPr>
          <w:rFonts w:ascii="Tahoma" w:eastAsia="Times New Roman" w:hAnsi="Tahoma" w:cs="Tahoma"/>
          <w:sz w:val="18"/>
          <w:szCs w:val="20"/>
          <w:lang w:eastAsia="pl-PL"/>
        </w:rPr>
        <w:t>odnowienia fragmentu zatartego, zniszczonego lub niewidocznego oznakowania,</w:t>
      </w:r>
    </w:p>
    <w:p w:rsidR="00523C32" w:rsidRPr="00050108" w:rsidRDefault="00AE7AAC" w:rsidP="00AA62AD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20"/>
          <w:lang w:eastAsia="pl-PL"/>
        </w:rPr>
        <w:t xml:space="preserve">montażu </w:t>
      </w:r>
      <w:r w:rsidR="003C2C3D">
        <w:rPr>
          <w:rFonts w:ascii="Tahoma" w:eastAsia="Times New Roman" w:hAnsi="Tahoma" w:cs="Tahoma"/>
          <w:sz w:val="18"/>
          <w:szCs w:val="20"/>
          <w:lang w:eastAsia="pl-PL"/>
        </w:rPr>
        <w:t>p</w:t>
      </w:r>
      <w:r w:rsidR="003C2C3D" w:rsidRPr="00523C32">
        <w:rPr>
          <w:rFonts w:ascii="Tahoma" w:eastAsia="Times New Roman" w:hAnsi="Tahoma" w:cs="Tahoma"/>
          <w:sz w:val="18"/>
          <w:szCs w:val="20"/>
          <w:lang w:eastAsia="pl-PL"/>
        </w:rPr>
        <w:t>unktow</w:t>
      </w:r>
      <w:r w:rsidR="003C2C3D">
        <w:rPr>
          <w:rFonts w:ascii="Tahoma" w:eastAsia="Times New Roman" w:hAnsi="Tahoma" w:cs="Tahoma"/>
          <w:sz w:val="18"/>
          <w:szCs w:val="20"/>
          <w:lang w:eastAsia="pl-PL"/>
        </w:rPr>
        <w:t>ych</w:t>
      </w:r>
      <w:r w:rsidR="003C2C3D" w:rsidRPr="00523C32">
        <w:rPr>
          <w:rFonts w:ascii="Tahoma" w:eastAsia="Times New Roman" w:hAnsi="Tahoma" w:cs="Tahoma"/>
          <w:sz w:val="18"/>
          <w:szCs w:val="20"/>
          <w:lang w:eastAsia="pl-PL"/>
        </w:rPr>
        <w:t xml:space="preserve"> element</w:t>
      </w:r>
      <w:r w:rsidR="003C2C3D">
        <w:rPr>
          <w:rFonts w:ascii="Tahoma" w:eastAsia="Times New Roman" w:hAnsi="Tahoma" w:cs="Tahoma"/>
          <w:sz w:val="18"/>
          <w:szCs w:val="20"/>
          <w:lang w:eastAsia="pl-PL"/>
        </w:rPr>
        <w:t>ów</w:t>
      </w:r>
      <w:r w:rsidR="003C2C3D" w:rsidRPr="00523C32">
        <w:rPr>
          <w:rFonts w:ascii="Tahoma" w:eastAsia="Times New Roman" w:hAnsi="Tahoma" w:cs="Tahoma"/>
          <w:sz w:val="18"/>
          <w:szCs w:val="20"/>
          <w:lang w:eastAsia="pl-PL"/>
        </w:rPr>
        <w:t xml:space="preserve"> odblaskow</w:t>
      </w:r>
      <w:r w:rsidR="003C2C3D">
        <w:rPr>
          <w:rFonts w:ascii="Tahoma" w:eastAsia="Times New Roman" w:hAnsi="Tahoma" w:cs="Tahoma"/>
          <w:sz w:val="18"/>
          <w:szCs w:val="20"/>
          <w:lang w:eastAsia="pl-PL"/>
        </w:rPr>
        <w:t>ych,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4" w:name="_Toc316558862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1.4. Określenia podstawowe</w:t>
      </w:r>
      <w:bookmarkEnd w:id="4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1.4.1.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Oznakowanie poziome - znaki drogowe poziome, umieszczone na nawierzchni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>w postaci linii ciągłych lub przerywanych, pojedynczych lub podwójnych, strzałek, napisów, symboli oraz innych linii związanych z oznaczeniem określonych miejsc na tej nawierzchni.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1.4.2.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Znaki podłużne - linie równoległe do osi jezdni lub odchylone od niej pod niewielkim kątem,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występujące, </w:t>
      </w:r>
      <w:r w:rsidR="00D40A12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jako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linie segregacyjne lub krawędziowe, przerywane lub ciągłe.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1.4.3.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Strzałki - znaki poziome na nawierzchni,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występujące, jako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strzałki kierunkowe służące do wskazania dozwolonego kierunku jazdy oraz strzałki naprowadzające, które uprzedzają o konieczności opuszczenia pasa, na którym się znajdują.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1.4.4.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Znaki poprzeczne - znaki wyznaczające miejsca przeznaczone do ruchu pieszych i rowerzystów w poprzek jezdni oraz miejsca zatrzymania pojazdów.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1.4.5.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Znaki uzupełniające - znaki w postaci symboli, napisów, linii przystankowych oraz inne określające szczególne miejsca na nawierzchni.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1.4.6.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Materiały do poziomego znakowania dróg - materiały zawierające rozpuszczalniki, wolne od rozpuszczalników lub punktowe elementy odblaskowe, które mogą zostać naniesione albo wbudowane przez malowanie, natryskiwanie, odlewanie, wytłaczanie, rolowanie, klejenie itp. na nawierzchnie drogowe, stosowane w temperaturze otoczenia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lub w temperaturze podwyższonej. Materiały te powinny być </w:t>
      </w:r>
      <w:r w:rsidR="00A43FD5" w:rsidRPr="00050108">
        <w:rPr>
          <w:rFonts w:ascii="Tahoma" w:eastAsia="Times New Roman" w:hAnsi="Tahoma" w:cs="Tahoma"/>
          <w:sz w:val="18"/>
          <w:szCs w:val="20"/>
          <w:lang w:eastAsia="pl-PL"/>
        </w:rPr>
        <w:t>retro refleksyjne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.</w:t>
      </w:r>
    </w:p>
    <w:p w:rsidR="00523C32" w:rsidRDefault="00523C32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523C32" w:rsidRPr="00050108" w:rsidRDefault="00523C32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1.4.</w:t>
      </w:r>
      <w:r>
        <w:rPr>
          <w:rFonts w:ascii="Tahoma" w:eastAsia="Times New Roman" w:hAnsi="Tahoma" w:cs="Tahoma"/>
          <w:b/>
          <w:sz w:val="18"/>
          <w:szCs w:val="20"/>
          <w:lang w:eastAsia="pl-PL"/>
        </w:rPr>
        <w:t>7</w:t>
      </w: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. </w:t>
      </w:r>
      <w:r w:rsidRPr="00523C32">
        <w:rPr>
          <w:rFonts w:ascii="Tahoma" w:eastAsia="Times New Roman" w:hAnsi="Tahoma" w:cs="Tahoma"/>
          <w:sz w:val="18"/>
          <w:szCs w:val="20"/>
          <w:lang w:eastAsia="pl-PL"/>
        </w:rPr>
        <w:t>Punktowe elementy odblaskowe - urządzenia prowadzenia poziomego, o różnym kształcie, wielkości i wysokość oraz rodzaju i liczbie zastosowanych odbłyśników, które odbijają padające z boku oświetlenie w celu ostrzegania, prowadzenia i informowania użytkowników drogi. Punktowy element odblaskowy może składać się z jednej lub kilku integralnie związanych ze sobą części, może być przyklejony, zakotwiczony w nawierzchnię drogi.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1.4.</w:t>
      </w:r>
      <w:r w:rsidR="00523C32">
        <w:rPr>
          <w:rFonts w:ascii="Tahoma" w:eastAsia="Times New Roman" w:hAnsi="Tahoma" w:cs="Tahoma"/>
          <w:b/>
          <w:sz w:val="18"/>
          <w:szCs w:val="20"/>
          <w:lang w:eastAsia="pl-PL"/>
        </w:rPr>
        <w:t>8</w:t>
      </w: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Kulki szklane - materiał do posypywania lub narzucania pod ciśnieniem na oznakowanie wykonane materiałami w stanie ciekłym, w celu uzyskania widzialności oznakowania w nocy.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1.4.</w:t>
      </w:r>
      <w:r w:rsidR="00523C32">
        <w:rPr>
          <w:rFonts w:ascii="Tahoma" w:eastAsia="Times New Roman" w:hAnsi="Tahoma" w:cs="Tahoma"/>
          <w:b/>
          <w:sz w:val="18"/>
          <w:szCs w:val="20"/>
          <w:lang w:eastAsia="pl-PL"/>
        </w:rPr>
        <w:t>9</w:t>
      </w: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Materiał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uszorstniający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- kruszywo zapewniające oznakowaniu poziomemu właściwości antypoślizgowe.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1.4.</w:t>
      </w:r>
      <w:r w:rsidR="00523C32">
        <w:rPr>
          <w:rFonts w:ascii="Tahoma" w:eastAsia="Times New Roman" w:hAnsi="Tahoma" w:cs="Tahoma"/>
          <w:b/>
          <w:sz w:val="18"/>
          <w:szCs w:val="20"/>
          <w:lang w:eastAsia="pl-PL"/>
        </w:rPr>
        <w:t>10</w:t>
      </w: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. </w:t>
      </w:r>
      <w:r w:rsidR="005317B3" w:rsidRPr="005317B3">
        <w:rPr>
          <w:rFonts w:ascii="Tahoma" w:eastAsia="Times New Roman" w:hAnsi="Tahoma" w:cs="Tahoma"/>
          <w:sz w:val="18"/>
          <w:szCs w:val="20"/>
          <w:lang w:eastAsia="pl-PL"/>
        </w:rPr>
        <w:t>Wykonanie i odnowa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oznakowania poziomego - zabiegi wykonywane w ramach utrzymania dróg, polegające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na odnowieniu fragmentów zatartego, zniszczonego lub niewidocznego oznakowania pierwotnego, znakowania stref robót w pasie drogowym, znakowania tymczasowego i usuwania elementów dotychczasowego oznakowania.</w:t>
      </w:r>
    </w:p>
    <w:p w:rsidR="00050108" w:rsidRPr="00050108" w:rsidRDefault="00050108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1.4.1</w:t>
      </w:r>
      <w:r w:rsidR="00523C32">
        <w:rPr>
          <w:rFonts w:ascii="Tahoma" w:eastAsia="Times New Roman" w:hAnsi="Tahoma" w:cs="Tahoma"/>
          <w:b/>
          <w:sz w:val="18"/>
          <w:szCs w:val="20"/>
          <w:lang w:eastAsia="pl-PL"/>
        </w:rPr>
        <w:t>1</w:t>
      </w: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Pozostałe określenia są zgodne z obowiązującymi, odpowiednimi polskimi normami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>i z definicjami podanymi w SST D</w:t>
      </w:r>
      <w:r w:rsidR="004546AD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00.00.00 „Wymagania ogólne”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pkt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1.4.</w:t>
      </w:r>
    </w:p>
    <w:p w:rsidR="00050108" w:rsidRPr="00050108" w:rsidRDefault="00050108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Oznakowanie poziome powinno spełniać następujące wymagania:</w:t>
      </w:r>
    </w:p>
    <w:p w:rsidR="00050108" w:rsidRPr="00050108" w:rsidRDefault="00050108" w:rsidP="0005010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dobra widoczność w dzień i w nocy,</w:t>
      </w:r>
    </w:p>
    <w:p w:rsidR="00050108" w:rsidRPr="00050108" w:rsidRDefault="00050108" w:rsidP="0005010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dobra i jednoznaczna czytelność oznakowania,</w:t>
      </w:r>
    </w:p>
    <w:p w:rsidR="00050108" w:rsidRPr="00050108" w:rsidRDefault="00050108" w:rsidP="0005010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zachowanie prawidłowych wymiarów geometrycznych, </w:t>
      </w:r>
    </w:p>
    <w:p w:rsidR="00050108" w:rsidRPr="00050108" w:rsidRDefault="00050108" w:rsidP="0005010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odpowiednia szorstkość i trwałość, </w:t>
      </w:r>
    </w:p>
    <w:p w:rsidR="00050108" w:rsidRPr="00050108" w:rsidRDefault="00050108" w:rsidP="0005010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lastRenderedPageBreak/>
        <w:t>odblaskowość.</w:t>
      </w:r>
    </w:p>
    <w:p w:rsidR="00050108" w:rsidRPr="00050108" w:rsidRDefault="00050108" w:rsidP="00050108">
      <w:pPr>
        <w:tabs>
          <w:tab w:val="left" w:pos="720"/>
        </w:tabs>
        <w:spacing w:after="0" w:line="240" w:lineRule="auto"/>
        <w:ind w:left="720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050108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5" w:name="_Toc316558863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1.5. Ogólne wymagania dotyczące robót</w:t>
      </w:r>
      <w:bookmarkEnd w:id="5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Wykonawca robót odpowiedzialny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jest, za jakość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ich wykonania, zgodność z projektem oznakowania, SST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i poleceniami Przedstawiciela Zamawiającego. Wymagania ogólne dotyczące wykonania robót podano w </w:t>
      </w:r>
      <w:r w:rsidR="00DB4810">
        <w:rPr>
          <w:rFonts w:ascii="Tahoma" w:eastAsia="Times New Roman" w:hAnsi="Tahoma" w:cs="Tahoma"/>
          <w:sz w:val="18"/>
          <w:szCs w:val="20"/>
          <w:lang w:eastAsia="pl-PL"/>
        </w:rPr>
        <w:t>S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ST D.00.00.00 „Wymagania ogólne”.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widowControl w:val="0"/>
        <w:numPr>
          <w:ilvl w:val="12"/>
          <w:numId w:val="0"/>
        </w:numPr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bookmarkStart w:id="6" w:name="_Toc316558864"/>
      <w:r w:rsidRPr="0005010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2. MATERIAŁY</w:t>
      </w:r>
      <w:bookmarkEnd w:id="6"/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7" w:name="_Toc316558865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2.1. Ogólne wymagania dotyczące materiałów</w:t>
      </w:r>
      <w:bookmarkEnd w:id="7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Każdy materiał używany przez Wykonawcę do </w:t>
      </w:r>
      <w:r w:rsidR="005317B3">
        <w:rPr>
          <w:rFonts w:ascii="Tahoma" w:eastAsia="Times New Roman" w:hAnsi="Tahoma" w:cs="Tahoma"/>
          <w:sz w:val="18"/>
          <w:szCs w:val="20"/>
          <w:lang w:eastAsia="pl-PL"/>
        </w:rPr>
        <w:t>w</w:t>
      </w:r>
      <w:r w:rsidR="005317B3" w:rsidRPr="005317B3">
        <w:rPr>
          <w:rFonts w:ascii="Tahoma" w:eastAsia="Times New Roman" w:hAnsi="Tahoma" w:cs="Tahoma"/>
          <w:sz w:val="18"/>
          <w:szCs w:val="20"/>
          <w:lang w:eastAsia="pl-PL"/>
        </w:rPr>
        <w:t>ykonani</w:t>
      </w:r>
      <w:r w:rsidR="005317B3">
        <w:rPr>
          <w:rFonts w:ascii="Tahoma" w:eastAsia="Times New Roman" w:hAnsi="Tahoma" w:cs="Tahoma"/>
          <w:sz w:val="18"/>
          <w:szCs w:val="20"/>
          <w:lang w:eastAsia="pl-PL"/>
        </w:rPr>
        <w:t>a</w:t>
      </w:r>
      <w:r w:rsidR="005317B3" w:rsidRPr="005317B3">
        <w:rPr>
          <w:rFonts w:ascii="Tahoma" w:eastAsia="Times New Roman" w:hAnsi="Tahoma" w:cs="Tahoma"/>
          <w:sz w:val="18"/>
          <w:szCs w:val="20"/>
          <w:lang w:eastAsia="pl-PL"/>
        </w:rPr>
        <w:t xml:space="preserve"> i odnow</w:t>
      </w:r>
      <w:r w:rsidR="005317B3">
        <w:rPr>
          <w:rFonts w:ascii="Tahoma" w:eastAsia="Times New Roman" w:hAnsi="Tahoma" w:cs="Tahoma"/>
          <w:sz w:val="18"/>
          <w:szCs w:val="20"/>
          <w:lang w:eastAsia="pl-PL"/>
        </w:rPr>
        <w:t>y</w:t>
      </w:r>
      <w:r w:rsidR="005317B3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poziomego znakowania dróg musi posiadać ważną aprobatę techniczna wydaną przez </w:t>
      </w:r>
      <w:r w:rsidRPr="00050108">
        <w:rPr>
          <w:rFonts w:ascii="Tahoma" w:eastAsia="Times New Roman" w:hAnsi="Tahoma" w:cs="Tahoma"/>
          <w:sz w:val="18"/>
          <w:szCs w:val="18"/>
          <w:lang w:eastAsia="pl-PL"/>
        </w:rPr>
        <w:t>uprawnioną jednostkę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. Materiały, które nie będą posiadać aprobaty technicznej lub świadectwa dopuszczenia nie będą dopuszczone przez Przedstawiciela Zamawiającego.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B3022" w:rsidRDefault="000B3022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2.</w:t>
      </w:r>
      <w:r w:rsidR="004546AD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2</w:t>
      </w:r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. Materiały do znakowania </w:t>
      </w:r>
      <w:r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grubo</w:t>
      </w:r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warstwowego</w:t>
      </w:r>
    </w:p>
    <w:p w:rsidR="000B3022" w:rsidRDefault="000B3022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B3022">
        <w:rPr>
          <w:rFonts w:ascii="Tahoma" w:eastAsia="Times New Roman" w:hAnsi="Tahoma" w:cs="Tahoma"/>
          <w:sz w:val="18"/>
          <w:szCs w:val="20"/>
          <w:lang w:eastAsia="pl-PL"/>
        </w:rPr>
        <w:t>Materiałami do wykonywania oznakowania grubowarstwowego powinny być materiały umożliwiające nakładanie ich warstwą grubości:</w:t>
      </w:r>
    </w:p>
    <w:p w:rsidR="000B3022" w:rsidRPr="000B3022" w:rsidRDefault="000B3022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B3022">
        <w:rPr>
          <w:rFonts w:ascii="Tahoma" w:eastAsia="Times New Roman" w:hAnsi="Tahoma" w:cs="Tahoma"/>
          <w:sz w:val="18"/>
          <w:szCs w:val="20"/>
          <w:lang w:eastAsia="pl-PL"/>
        </w:rPr>
        <w:t>- od 0,9 mm do 3,5 mm dla mas chemoutwardzalnych stosowanych na zimno oraz mas termoplastycznych,</w:t>
      </w:r>
    </w:p>
    <w:p w:rsidR="000B3022" w:rsidRPr="000B3022" w:rsidRDefault="000B3022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B3022">
        <w:rPr>
          <w:rFonts w:ascii="Tahoma" w:eastAsia="Times New Roman" w:hAnsi="Tahoma" w:cs="Tahoma"/>
          <w:sz w:val="18"/>
          <w:szCs w:val="20"/>
          <w:lang w:eastAsia="pl-PL"/>
        </w:rPr>
        <w:t>- do 5 mm dla linii strukturalnych i profilowanych.</w:t>
      </w:r>
    </w:p>
    <w:p w:rsidR="000B3022" w:rsidRPr="000B3022" w:rsidRDefault="000B3022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B3022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Masy chemoutwardzalne powinny być substancjami jedno-, dwu- lub trójskładnikowymi, mieszanymi ze sobą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B3022">
        <w:rPr>
          <w:rFonts w:ascii="Tahoma" w:eastAsia="Times New Roman" w:hAnsi="Tahoma" w:cs="Tahoma"/>
          <w:sz w:val="18"/>
          <w:szCs w:val="20"/>
          <w:lang w:eastAsia="pl-PL"/>
        </w:rPr>
        <w:t>w proporcjach ustalonych przez producenta i nakładanymi na nawierzchnię z użyciem odpowiedniego sprzętu. Masy te powinny tworzyć powłokę, której spójność zapewnia jedynie reakcja chemiczna.</w:t>
      </w:r>
    </w:p>
    <w:p w:rsidR="000B3022" w:rsidRPr="000B3022" w:rsidRDefault="000B3022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B3022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Masy termoplastyczne powinny być substancjami nie zawierającymi rozpuszczalników, dostarczanymi w postaci bloków, granulek lub proszku. Przy stosowaniu powinny dać się podgrzewać do stopienia i aplikować ręcznie </w:t>
      </w:r>
      <w:r w:rsidR="00D40A12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B3022">
        <w:rPr>
          <w:rFonts w:ascii="Tahoma" w:eastAsia="Times New Roman" w:hAnsi="Tahoma" w:cs="Tahoma"/>
          <w:sz w:val="18"/>
          <w:szCs w:val="20"/>
          <w:lang w:eastAsia="pl-PL"/>
        </w:rPr>
        <w:t>lub maszynowo. Masy te powinny tworzyć spójną warstwę przez ochłodzenie.</w:t>
      </w:r>
    </w:p>
    <w:p w:rsidR="000B3022" w:rsidRPr="000B3022" w:rsidRDefault="000B3022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B3022">
        <w:rPr>
          <w:rFonts w:ascii="Tahoma" w:eastAsia="Times New Roman" w:hAnsi="Tahoma" w:cs="Tahoma"/>
          <w:sz w:val="18"/>
          <w:szCs w:val="20"/>
          <w:lang w:eastAsia="pl-PL"/>
        </w:rPr>
        <w:tab/>
        <w:t>Właściwości fizyczne materiałów do oznakowania grubowarstwowego i wykonanych z nich elementów prefabrykowanych określają aprobaty techniczne.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2.</w:t>
      </w:r>
      <w:r w:rsidR="004546AD">
        <w:rPr>
          <w:rFonts w:ascii="Tahoma" w:eastAsia="Times New Roman" w:hAnsi="Tahoma" w:cs="Tahoma"/>
          <w:b/>
          <w:sz w:val="18"/>
          <w:szCs w:val="20"/>
          <w:lang w:eastAsia="pl-PL"/>
        </w:rPr>
        <w:t>3</w:t>
      </w: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.Kulki szklane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Kulki szklane powinny charakteryzować się współczynnikiem załamania powyżej 1,50, wykazywać odporność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na wodę i zawierać nie więcej niż 20% kulek z defektami.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Kulki szklane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hydrofobizowane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powinny ponadto wykazywać stopień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hydrofobizacji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, co najmniej 80%.</w:t>
      </w:r>
    </w:p>
    <w:p w:rsid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Właściwości kulek szklanych określa aprobata techniczna, odpowiadająca wymaganiom POD-97 [9].</w:t>
      </w:r>
    </w:p>
    <w:p w:rsidR="00A6112F" w:rsidRDefault="00A6112F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A6112F" w:rsidRPr="00A6112F" w:rsidRDefault="00A6112F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20"/>
          <w:lang w:eastAsia="pl-PL"/>
        </w:rPr>
      </w:pPr>
      <w:r>
        <w:rPr>
          <w:rFonts w:ascii="Tahoma" w:eastAsia="Times New Roman" w:hAnsi="Tahoma" w:cs="Tahoma"/>
          <w:b/>
          <w:sz w:val="18"/>
          <w:szCs w:val="20"/>
          <w:lang w:eastAsia="pl-PL"/>
        </w:rPr>
        <w:t>2.</w:t>
      </w:r>
      <w:r w:rsidR="004546AD">
        <w:rPr>
          <w:rFonts w:ascii="Tahoma" w:eastAsia="Times New Roman" w:hAnsi="Tahoma" w:cs="Tahoma"/>
          <w:b/>
          <w:sz w:val="18"/>
          <w:szCs w:val="20"/>
          <w:lang w:eastAsia="pl-PL"/>
        </w:rPr>
        <w:t>4</w:t>
      </w:r>
      <w:r w:rsidRPr="00A6112F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. Materiał </w:t>
      </w:r>
      <w:proofErr w:type="spellStart"/>
      <w:r w:rsidRPr="00A6112F">
        <w:rPr>
          <w:rFonts w:ascii="Tahoma" w:eastAsia="Times New Roman" w:hAnsi="Tahoma" w:cs="Tahoma"/>
          <w:b/>
          <w:sz w:val="18"/>
          <w:szCs w:val="20"/>
          <w:lang w:eastAsia="pl-PL"/>
        </w:rPr>
        <w:t>uszorstniający</w:t>
      </w:r>
      <w:proofErr w:type="spellEnd"/>
      <w:r w:rsidRPr="00A6112F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 oznakowanie</w:t>
      </w:r>
    </w:p>
    <w:p w:rsidR="00A6112F" w:rsidRPr="00A6112F" w:rsidRDefault="00A6112F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pl-PL"/>
        </w:rPr>
      </w:pPr>
      <w:r w:rsidRPr="00A6112F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Materiał </w:t>
      </w:r>
      <w:proofErr w:type="spellStart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>uszorstniający</w:t>
      </w:r>
      <w:proofErr w:type="spellEnd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 xml:space="preserve"> oznakowanie powinien składać się z naturalnego lub sztucznego twardego kruszywa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A6112F">
        <w:rPr>
          <w:rFonts w:ascii="Tahoma" w:eastAsia="Times New Roman" w:hAnsi="Tahoma" w:cs="Tahoma"/>
          <w:sz w:val="18"/>
          <w:szCs w:val="20"/>
          <w:lang w:eastAsia="pl-PL"/>
        </w:rPr>
        <w:t xml:space="preserve">(np. krystobalitu), stosowanego w celu zapewnienia oznakowaniu odpowiedniej szorstkości (właściwości antypoślizgowych). Materiał </w:t>
      </w:r>
      <w:proofErr w:type="spellStart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>uszorstniający</w:t>
      </w:r>
      <w:proofErr w:type="spellEnd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 xml:space="preserve"> nie może zawierać więcej niż 1% cząstek mniejszych niż 90 </w:t>
      </w:r>
      <w:r w:rsidRPr="00A6112F">
        <w:rPr>
          <w:rFonts w:ascii="Tahoma" w:eastAsia="Times New Roman" w:hAnsi="Tahoma" w:cs="Tahoma"/>
          <w:sz w:val="18"/>
          <w:szCs w:val="20"/>
          <w:lang w:eastAsia="pl-PL"/>
        </w:rPr>
        <w:sym w:font="Symbol" w:char="F06D"/>
      </w:r>
      <w:r w:rsidRPr="00A6112F">
        <w:rPr>
          <w:rFonts w:ascii="Tahoma" w:eastAsia="Times New Roman" w:hAnsi="Tahoma" w:cs="Tahoma"/>
          <w:sz w:val="18"/>
          <w:szCs w:val="20"/>
          <w:lang w:eastAsia="pl-PL"/>
        </w:rPr>
        <w:t xml:space="preserve">m. Potrzeba stosowania materiału </w:t>
      </w:r>
      <w:proofErr w:type="spellStart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>uszorstniającego</w:t>
      </w:r>
      <w:proofErr w:type="spellEnd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 xml:space="preserve"> powinna być określona w SST. Konieczność jego użycia zachodzi w przypadku potrzeby uzyskania wskaźnika szorstkości oznakowania  SRT </w:t>
      </w:r>
      <w:r w:rsidRPr="00A6112F">
        <w:rPr>
          <w:rFonts w:ascii="Tahoma" w:eastAsia="Times New Roman" w:hAnsi="Tahoma" w:cs="Tahoma"/>
          <w:sz w:val="18"/>
          <w:szCs w:val="20"/>
          <w:lang w:eastAsia="pl-PL"/>
        </w:rPr>
        <w:sym w:font="Symbol" w:char="F0B3"/>
      </w:r>
      <w:r w:rsidRPr="00A6112F">
        <w:rPr>
          <w:rFonts w:ascii="Tahoma" w:eastAsia="Times New Roman" w:hAnsi="Tahoma" w:cs="Tahoma"/>
          <w:sz w:val="18"/>
          <w:szCs w:val="20"/>
          <w:lang w:eastAsia="pl-PL"/>
        </w:rPr>
        <w:t xml:space="preserve"> 50.</w:t>
      </w:r>
    </w:p>
    <w:p w:rsidR="00A6112F" w:rsidRPr="00A6112F" w:rsidRDefault="00A6112F" w:rsidP="00AA62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pl-PL"/>
        </w:rPr>
      </w:pPr>
      <w:r w:rsidRPr="00A6112F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Materiał </w:t>
      </w:r>
      <w:proofErr w:type="spellStart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>uszorstniający</w:t>
      </w:r>
      <w:proofErr w:type="spellEnd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 xml:space="preserve"> (kruszywo przeciwpoślizgowe) oraz mieszanina kulek szklanych z materiałem </w:t>
      </w:r>
      <w:proofErr w:type="spellStart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>uszorstniającym</w:t>
      </w:r>
      <w:proofErr w:type="spellEnd"/>
      <w:r w:rsidRPr="00A6112F">
        <w:rPr>
          <w:rFonts w:ascii="Tahoma" w:eastAsia="Times New Roman" w:hAnsi="Tahoma" w:cs="Tahoma"/>
          <w:sz w:val="18"/>
          <w:szCs w:val="20"/>
          <w:lang w:eastAsia="pl-PL"/>
        </w:rPr>
        <w:t xml:space="preserve"> powinny odpowiadać wymaganiom określonym w aprobacie technicznej. </w:t>
      </w:r>
    </w:p>
    <w:p w:rsidR="00A6112F" w:rsidRDefault="00A6112F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2.</w:t>
      </w:r>
      <w:r w:rsidR="00170348">
        <w:rPr>
          <w:rFonts w:ascii="Tahoma" w:eastAsia="Times New Roman" w:hAnsi="Tahoma" w:cs="Tahoma"/>
          <w:b/>
          <w:sz w:val="18"/>
          <w:szCs w:val="20"/>
          <w:lang w:eastAsia="pl-PL"/>
        </w:rPr>
        <w:t>5</w:t>
      </w: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. Wymagania wobec materiałów ze względu na ochronę warunków pracy i środowiska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Materiały stosowane do znakowania nawierzchni nie powinny zawierać substancji zagrażających zdrowiu ludzi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i powodujących skażenie środowiska.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8" w:name="_Toc316558867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2.</w:t>
      </w:r>
      <w:r w:rsidR="0017034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6</w:t>
      </w:r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. Inne materiały</w:t>
      </w:r>
      <w:bookmarkEnd w:id="8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Wymagania dla innych materiałów oraz zasad przechowywania i składowania materiałów powinny odpowiadać wymaganiom podanym w </w:t>
      </w:r>
      <w:r w:rsidR="004546AD">
        <w:rPr>
          <w:rFonts w:ascii="Tahoma" w:eastAsia="Times New Roman" w:hAnsi="Tahoma" w:cs="Tahoma"/>
          <w:sz w:val="18"/>
          <w:szCs w:val="20"/>
          <w:lang w:eastAsia="pl-PL"/>
        </w:rPr>
        <w:t>SST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D-07.01.01. „Oznakowanie poziome”.</w:t>
      </w:r>
    </w:p>
    <w:p w:rsidR="00050108" w:rsidRPr="00050108" w:rsidRDefault="00050108" w:rsidP="00AA62AD">
      <w:pPr>
        <w:keepNext/>
        <w:widowControl w:val="0"/>
        <w:numPr>
          <w:ilvl w:val="12"/>
          <w:numId w:val="0"/>
        </w:numPr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</w:p>
    <w:p w:rsidR="00050108" w:rsidRPr="00050108" w:rsidRDefault="00050108" w:rsidP="00AA62AD">
      <w:pPr>
        <w:keepNext/>
        <w:widowControl w:val="0"/>
        <w:numPr>
          <w:ilvl w:val="12"/>
          <w:numId w:val="0"/>
        </w:numPr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bookmarkStart w:id="9" w:name="_Toc316558868"/>
      <w:r w:rsidRPr="0005010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3. SPRZĘT</w:t>
      </w:r>
      <w:bookmarkEnd w:id="9"/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10" w:name="_Toc316558869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3.1. Ogólne wymagania dotyczące sprzętu</w:t>
      </w:r>
      <w:bookmarkEnd w:id="10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Ogólne wymagania dotyczące sprzętu podano w SST D-00.00.00 „Wymagania ogólne”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pkt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3.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8"/>
          <w:lang w:eastAsia="pl-PL"/>
        </w:rPr>
      </w:pPr>
      <w:bookmarkStart w:id="11" w:name="_Toc316558870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3.2. Wymagania dotyczące sprzętu</w:t>
      </w:r>
      <w:bookmarkEnd w:id="11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Wymagania dotyczące sprzętu do wykonania </w:t>
      </w:r>
      <w:r w:rsidR="00E761CD">
        <w:rPr>
          <w:rFonts w:ascii="Tahoma" w:eastAsia="Times New Roman" w:hAnsi="Tahoma" w:cs="Tahoma"/>
          <w:sz w:val="18"/>
          <w:szCs w:val="20"/>
          <w:lang w:eastAsia="pl-PL"/>
        </w:rPr>
        <w:t>odnowy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oznakowania poziomego powinny</w:t>
      </w:r>
      <w:r w:rsidR="004546AD">
        <w:rPr>
          <w:rFonts w:ascii="Tahoma" w:eastAsia="Times New Roman" w:hAnsi="Tahoma" w:cs="Tahoma"/>
          <w:sz w:val="18"/>
          <w:szCs w:val="20"/>
          <w:lang w:eastAsia="pl-PL"/>
        </w:rPr>
        <w:t xml:space="preserve"> odpowiadać warunkom podanym w S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ST D-07.01.01 „Oznakowanie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poziome” </w:t>
      </w:r>
      <w:proofErr w:type="spellStart"/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pkt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3.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lastRenderedPageBreak/>
        <w:tab/>
        <w:t xml:space="preserve">W związku ze stosunkowo małym zakresem robót przy odnawianiu oznakowania poziomego (w porównaniu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z oznakowaniem nowym) preferowane są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malowarki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małe, prowadzone ręcznie i zamiatarki chodnikowe oraz dopuszcza się sprzęt ręczny (pędzle do malowania, szczotki do czyszczenia itp.).</w:t>
      </w:r>
    </w:p>
    <w:p w:rsidR="00050108" w:rsidRPr="00050108" w:rsidRDefault="00050108" w:rsidP="00AA62AD">
      <w:pPr>
        <w:keepNext/>
        <w:widowControl w:val="0"/>
        <w:numPr>
          <w:ilvl w:val="12"/>
          <w:numId w:val="0"/>
        </w:numPr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widowControl w:val="0"/>
        <w:numPr>
          <w:ilvl w:val="12"/>
          <w:numId w:val="0"/>
        </w:numPr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8"/>
          <w:szCs w:val="20"/>
          <w:lang w:eastAsia="pl-PL"/>
        </w:rPr>
      </w:pPr>
      <w:bookmarkStart w:id="12" w:name="_Toc316558871"/>
      <w:r w:rsidRPr="0005010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4. TRANSPORT</w:t>
      </w:r>
      <w:bookmarkEnd w:id="12"/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13" w:name="_Toc316558872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4.1. Ogólne wymagania dotyczące transportu</w:t>
      </w:r>
      <w:bookmarkEnd w:id="13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Wykonawca jest zobowiązany do zapewnienia takich środków transportu, które nie wpłyną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niekorzystnie,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na jakość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i bezpieczeństwo wykonywanych robót. Liczba środków transportu powinna zapewnić prowadzenie robót zgodnie z zasadami określonymi w SST.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14" w:name="_Toc316558873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4.2. Wymagania dotyczące transportu</w:t>
      </w:r>
      <w:bookmarkEnd w:id="14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Materiały do poziomego znakowania dróg należy przewozić w pojemnikach zapewniających szczelność, bezpieczny transport i zachowanie wymaganych właściwości materiałów. Pojemniki powinny być oznakowane zgodnie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z normą PN-O-79252[2]. Materiały do poziomego znakowania dróg należy transportować krytymi środkami transportowymi, chroniąc opakowania przed uszkodzeniem mechanicznym zgodnie z normą PN-C-81400 oraz prawem przewozowym.</w:t>
      </w:r>
    </w:p>
    <w:p w:rsidR="00050108" w:rsidRPr="00050108" w:rsidRDefault="00050108" w:rsidP="00AA62AD">
      <w:pPr>
        <w:keepNext/>
        <w:widowControl w:val="0"/>
        <w:numPr>
          <w:ilvl w:val="12"/>
          <w:numId w:val="0"/>
        </w:numPr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widowControl w:val="0"/>
        <w:numPr>
          <w:ilvl w:val="12"/>
          <w:numId w:val="0"/>
        </w:numPr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bookmarkStart w:id="15" w:name="_Toc316558874"/>
      <w:r w:rsidRPr="0005010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5. WYKONANIE ROBÓT</w:t>
      </w:r>
      <w:bookmarkEnd w:id="15"/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16" w:name="_Toc316558875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5.1. Ogólne zasady wykonania robót</w:t>
      </w:r>
      <w:bookmarkEnd w:id="16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Wykonawca jest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odpowiedzialny, za jakość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i prowadzenie robót zgodnie z zawartą umową wymaganiami SST, PZJ i poleceniami Przedstawiciela Zamawiającego.</w:t>
      </w:r>
    </w:p>
    <w:p w:rsidR="00050108" w:rsidRPr="00050108" w:rsidRDefault="00050108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050108">
      <w:pPr>
        <w:keepNext/>
        <w:numPr>
          <w:ilvl w:val="12"/>
          <w:numId w:val="0"/>
        </w:numPr>
        <w:spacing w:after="0" w:line="240" w:lineRule="auto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17" w:name="_Toc316558876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5.2. Warunki atmosferyczne</w:t>
      </w:r>
      <w:bookmarkEnd w:id="17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W czasie wykon</w:t>
      </w:r>
      <w:r w:rsidR="000A08D8">
        <w:rPr>
          <w:rFonts w:ascii="Tahoma" w:eastAsia="Times New Roman" w:hAnsi="Tahoma" w:cs="Tahoma"/>
          <w:sz w:val="18"/>
          <w:szCs w:val="20"/>
          <w:lang w:eastAsia="pl-PL"/>
        </w:rPr>
        <w:t>ania i odnowy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oznakowania temperatura nawierzchni i powietrza powinna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wynosić, co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najmniej 5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C (wskazane 10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C ) , a wilgotność względna podłoża powinna być zgodna z zaleceniami producenta lub </w:t>
      </w:r>
      <w:r w:rsidR="00EF58A9" w:rsidRPr="00050108">
        <w:rPr>
          <w:rFonts w:ascii="Tahoma" w:eastAsia="Times New Roman" w:hAnsi="Tahoma" w:cs="Tahoma"/>
          <w:sz w:val="18"/>
          <w:szCs w:val="20"/>
          <w:lang w:eastAsia="pl-PL"/>
        </w:rPr>
        <w:t>wynosić, co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najwyżej 85%.</w:t>
      </w:r>
    </w:p>
    <w:p w:rsidR="000A08D8" w:rsidRDefault="000A08D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18" w:name="_Toc316558877"/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5.3. Przygotowanie podłoża do wykonania znakowania</w:t>
      </w:r>
      <w:bookmarkEnd w:id="18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Przed wykonaniem znakowania poziomego należy oczyścić ręcznie lub mechanicznie powierzchnie nawierzchni w obrębie pasa przewidzianego do malowania z pyłu, kurzu, piasku, smarów, olejów i innych zanieczyszczeń. Powierzchnia nawierzchni przygotowana do </w:t>
      </w:r>
      <w:r w:rsidR="00E761CD">
        <w:rPr>
          <w:rFonts w:ascii="Tahoma" w:eastAsia="Times New Roman" w:hAnsi="Tahoma" w:cs="Tahoma"/>
          <w:sz w:val="18"/>
          <w:szCs w:val="20"/>
          <w:lang w:eastAsia="pl-PL"/>
        </w:rPr>
        <w:t>wykonania i odnowy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oznakowania poziomego powinna być czysta i sucha.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19" w:name="_Toc316558878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5.4. </w:t>
      </w:r>
      <w:proofErr w:type="spellStart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Przedznakowanie</w:t>
      </w:r>
      <w:bookmarkEnd w:id="19"/>
      <w:proofErr w:type="spellEnd"/>
    </w:p>
    <w:p w:rsid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W celu dokładnego wykonania </w:t>
      </w:r>
      <w:r w:rsidR="00E761CD">
        <w:rPr>
          <w:rFonts w:ascii="Tahoma" w:eastAsia="Times New Roman" w:hAnsi="Tahoma" w:cs="Tahoma"/>
          <w:sz w:val="18"/>
          <w:szCs w:val="20"/>
          <w:lang w:eastAsia="pl-PL"/>
        </w:rPr>
        <w:t>i odnowy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poziomego oznakowania drogi należy dokonać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przedznakowania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w miejscach, gdzie elementy oznakowania dotychczasowego są niewidoczne lub w miejscach zmian dotychczasowego oznakowania.</w:t>
      </w:r>
    </w:p>
    <w:p w:rsidR="005D39E6" w:rsidRPr="00050108" w:rsidRDefault="005D39E6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20"/>
          <w:lang w:eastAsia="pl-PL"/>
        </w:rPr>
        <w:tab/>
      </w:r>
      <w:proofErr w:type="spellStart"/>
      <w:r>
        <w:rPr>
          <w:rFonts w:ascii="Tahoma" w:eastAsia="Times New Roman" w:hAnsi="Tahoma" w:cs="Tahoma"/>
          <w:sz w:val="18"/>
          <w:szCs w:val="20"/>
          <w:lang w:eastAsia="pl-PL"/>
        </w:rPr>
        <w:t>Przedznakowanie</w:t>
      </w:r>
      <w:proofErr w:type="spellEnd"/>
      <w:r>
        <w:rPr>
          <w:rFonts w:ascii="Tahoma" w:eastAsia="Times New Roman" w:hAnsi="Tahoma" w:cs="Tahoma"/>
          <w:sz w:val="18"/>
          <w:szCs w:val="20"/>
          <w:lang w:eastAsia="pl-PL"/>
        </w:rPr>
        <w:t xml:space="preserve"> należy wykonać przy udziale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Przedstawiciela Zamawiającego</w:t>
      </w:r>
      <w:r>
        <w:rPr>
          <w:rFonts w:ascii="Tahoma" w:eastAsia="Times New Roman" w:hAnsi="Tahoma" w:cs="Tahoma"/>
          <w:sz w:val="18"/>
          <w:szCs w:val="20"/>
          <w:lang w:eastAsia="pl-PL"/>
        </w:rPr>
        <w:t>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W przypadku wystąpienia elementów dotychczasowego oznakowania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niewymagających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="005D39E6">
        <w:rPr>
          <w:rFonts w:ascii="Tahoma" w:eastAsia="Times New Roman" w:hAnsi="Tahoma" w:cs="Tahoma"/>
          <w:sz w:val="18"/>
          <w:szCs w:val="20"/>
          <w:lang w:eastAsia="pl-PL"/>
        </w:rPr>
        <w:t>wykonania i odnowy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należy je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oznaczyć, jako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wyłączone z </w:t>
      </w:r>
      <w:r w:rsidR="00E761CD">
        <w:rPr>
          <w:rFonts w:ascii="Tahoma" w:eastAsia="Times New Roman" w:hAnsi="Tahoma" w:cs="Tahoma"/>
          <w:sz w:val="18"/>
          <w:szCs w:val="20"/>
          <w:lang w:eastAsia="pl-PL"/>
        </w:rPr>
        <w:t>wykonania i odnowy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Do wykonania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przedznakowania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można stosować nietrwałą farbę stosując się do ustaleń zawartych w „Instrukcji o znakach drogowych poziomych” [1], SST i wskazaniach Przedstawiciela Zamawiającego.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20" w:name="_Toc316558879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5.5. </w:t>
      </w:r>
      <w:r w:rsidRPr="00E761CD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Wykonanie </w:t>
      </w:r>
      <w:r w:rsidR="00E761CD" w:rsidRPr="00E761CD">
        <w:rPr>
          <w:rFonts w:ascii="Tahoma" w:eastAsia="Times New Roman" w:hAnsi="Tahoma" w:cs="Tahoma"/>
          <w:b/>
          <w:sz w:val="18"/>
          <w:szCs w:val="20"/>
          <w:lang w:eastAsia="pl-PL"/>
        </w:rPr>
        <w:t>i odnowa</w:t>
      </w:r>
      <w:r w:rsidRPr="00E761CD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 znakowania</w:t>
      </w:r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 drogi</w:t>
      </w:r>
      <w:bookmarkEnd w:id="20"/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28"/>
          <w:u w:val="single"/>
          <w:lang w:eastAsia="pl-PL"/>
        </w:rPr>
      </w:pPr>
      <w:bookmarkStart w:id="21" w:name="_Toc316558880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5.5.1.  </w:t>
      </w:r>
      <w:r w:rsidRPr="00050108">
        <w:rPr>
          <w:rFonts w:ascii="Tahoma" w:eastAsia="Times New Roman" w:hAnsi="Tahoma" w:cs="Tahoma"/>
          <w:bCs/>
          <w:iCs/>
          <w:sz w:val="18"/>
          <w:szCs w:val="28"/>
          <w:u w:val="single"/>
          <w:lang w:eastAsia="pl-PL"/>
        </w:rPr>
        <w:t>Czynności przy znakowaniu drogi</w:t>
      </w:r>
      <w:bookmarkEnd w:id="21"/>
    </w:p>
    <w:p w:rsidR="00050108" w:rsidRPr="00050108" w:rsidRDefault="00E761CD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20"/>
          <w:lang w:eastAsia="pl-PL"/>
        </w:rPr>
        <w:t>Wykonanie i odnowa</w:t>
      </w:r>
      <w:r w:rsidR="00050108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20"/>
          <w:lang w:eastAsia="pl-PL"/>
        </w:rPr>
        <w:t>o</w:t>
      </w:r>
      <w:r w:rsidR="00050108" w:rsidRPr="00050108">
        <w:rPr>
          <w:rFonts w:ascii="Tahoma" w:eastAsia="Times New Roman" w:hAnsi="Tahoma" w:cs="Tahoma"/>
          <w:sz w:val="18"/>
          <w:szCs w:val="20"/>
          <w:lang w:eastAsia="pl-PL"/>
        </w:rPr>
        <w:t>znakowania drogi obejmuje:</w:t>
      </w:r>
    </w:p>
    <w:p w:rsidR="00050108" w:rsidRPr="00050108" w:rsidRDefault="00050108" w:rsidP="00AA62AD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zabezpieczenie miejsca robót przez ustawienie pachołków gumowych, zapór itp., dowożonych samochodem dostawczym lub ciągnikiem z przyczepą,</w:t>
      </w:r>
    </w:p>
    <w:p w:rsidR="00050108" w:rsidRPr="00050108" w:rsidRDefault="00050108" w:rsidP="00AA62AD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przygotowanie farby lub materiałów prefabrykowanych,</w:t>
      </w:r>
    </w:p>
    <w:p w:rsidR="00050108" w:rsidRPr="00050108" w:rsidRDefault="00050108" w:rsidP="00AA62AD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ręczne lub mechaniczne odnowienie zniszczonych znaków na jezdni,</w:t>
      </w:r>
    </w:p>
    <w:p w:rsidR="00050108" w:rsidRPr="00050108" w:rsidRDefault="00050108" w:rsidP="00AA62AD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ochronę świeżo malowanych miejsc przed uszkodzeniem,</w:t>
      </w:r>
    </w:p>
    <w:p w:rsidR="00B3158F" w:rsidRPr="00B3158F" w:rsidRDefault="00050108" w:rsidP="00B3158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przenoszenie zapór przenośnych i znaków zabezpieczających (pachołków gumowych) w miarę postępu robót.</w:t>
      </w:r>
    </w:p>
    <w:p w:rsidR="005D39E6" w:rsidRPr="00050108" w:rsidRDefault="005D39E6" w:rsidP="00AA62AD">
      <w:pPr>
        <w:spacing w:after="0" w:line="240" w:lineRule="auto"/>
        <w:ind w:left="283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5.5.2. </w:t>
      </w:r>
      <w:r w:rsidR="005D39E6">
        <w:rPr>
          <w:rFonts w:ascii="Tahoma" w:eastAsia="Times New Roman" w:hAnsi="Tahoma" w:cs="Tahoma"/>
          <w:sz w:val="18"/>
          <w:szCs w:val="20"/>
          <w:u w:val="single"/>
          <w:lang w:eastAsia="pl-PL"/>
        </w:rPr>
        <w:t>Wykonanie i odnowa</w:t>
      </w:r>
      <w:r w:rsidRPr="00050108">
        <w:rPr>
          <w:rFonts w:ascii="Tahoma" w:eastAsia="Times New Roman" w:hAnsi="Tahoma" w:cs="Tahoma"/>
          <w:sz w:val="18"/>
          <w:szCs w:val="20"/>
          <w:u w:val="single"/>
          <w:lang w:eastAsia="pl-PL"/>
        </w:rPr>
        <w:t xml:space="preserve"> </w:t>
      </w:r>
      <w:r w:rsidR="005D39E6">
        <w:rPr>
          <w:rFonts w:ascii="Tahoma" w:eastAsia="Times New Roman" w:hAnsi="Tahoma" w:cs="Tahoma"/>
          <w:sz w:val="18"/>
          <w:szCs w:val="20"/>
          <w:u w:val="single"/>
          <w:lang w:eastAsia="pl-PL"/>
        </w:rPr>
        <w:t>o</w:t>
      </w:r>
      <w:r w:rsidRPr="00050108">
        <w:rPr>
          <w:rFonts w:ascii="Tahoma" w:eastAsia="Times New Roman" w:hAnsi="Tahoma" w:cs="Tahoma"/>
          <w:sz w:val="18"/>
          <w:szCs w:val="20"/>
          <w:u w:val="single"/>
          <w:lang w:eastAsia="pl-PL"/>
        </w:rPr>
        <w:t xml:space="preserve">znakowania </w:t>
      </w:r>
      <w:r w:rsidR="005D39E6">
        <w:rPr>
          <w:rFonts w:ascii="Tahoma" w:eastAsia="Times New Roman" w:hAnsi="Tahoma" w:cs="Tahoma"/>
          <w:sz w:val="18"/>
          <w:szCs w:val="20"/>
          <w:u w:val="single"/>
          <w:lang w:eastAsia="pl-PL"/>
        </w:rPr>
        <w:t>poziomego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Po spełnieniu warunków zawartych w punktach 5.1 - 5.4 można przystąpić do wykonania znakowania drogi materiałami, od</w:t>
      </w:r>
      <w:r w:rsidR="005D39E6">
        <w:rPr>
          <w:rFonts w:ascii="Tahoma" w:eastAsia="Times New Roman" w:hAnsi="Tahoma" w:cs="Tahoma"/>
          <w:sz w:val="18"/>
          <w:szCs w:val="20"/>
          <w:lang w:eastAsia="pl-PL"/>
        </w:rPr>
        <w:t xml:space="preserve">powiadającymi wymaganiom </w:t>
      </w:r>
      <w:proofErr w:type="spellStart"/>
      <w:r w:rsidR="005D39E6">
        <w:rPr>
          <w:rFonts w:ascii="Tahoma" w:eastAsia="Times New Roman" w:hAnsi="Tahoma" w:cs="Tahoma"/>
          <w:sz w:val="18"/>
          <w:szCs w:val="20"/>
          <w:lang w:eastAsia="pl-PL"/>
        </w:rPr>
        <w:t>pktu</w:t>
      </w:r>
      <w:proofErr w:type="spellEnd"/>
      <w:r w:rsidR="005D39E6">
        <w:rPr>
          <w:rFonts w:ascii="Tahoma" w:eastAsia="Times New Roman" w:hAnsi="Tahoma" w:cs="Tahoma"/>
          <w:sz w:val="18"/>
          <w:szCs w:val="20"/>
          <w:lang w:eastAsia="pl-PL"/>
        </w:rPr>
        <w:t xml:space="preserve"> 2.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Decyzję dotyczącą sposobu wykonania znakowania podejmuje Przedstawiciel Zamawiającego na wniosek Wykonawcy.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W przypadku pozostawienia bez konieczności </w:t>
      </w:r>
      <w:r w:rsidR="00E761CD">
        <w:rPr>
          <w:rFonts w:ascii="Tahoma" w:eastAsia="Times New Roman" w:hAnsi="Tahoma" w:cs="Tahoma"/>
          <w:sz w:val="18"/>
          <w:szCs w:val="20"/>
          <w:lang w:eastAsia="pl-PL"/>
        </w:rPr>
        <w:t>wykonania i odnowy</w:t>
      </w:r>
      <w:r w:rsidR="00E761CD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części oznakowania poziomego, elementy odnowione należy wykonać przy użyciu materiałów o podobnych parametrach technicznych.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Zasady wykonania </w:t>
      </w:r>
      <w:r w:rsidR="00E761CD">
        <w:rPr>
          <w:rFonts w:ascii="Tahoma" w:eastAsia="Times New Roman" w:hAnsi="Tahoma" w:cs="Tahoma"/>
          <w:sz w:val="18"/>
          <w:szCs w:val="20"/>
          <w:lang w:eastAsia="pl-PL"/>
        </w:rPr>
        <w:t>i odnowy</w:t>
      </w:r>
      <w:r w:rsidR="00E761CD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oznakowania powinny o</w:t>
      </w:r>
      <w:r w:rsidR="004546AD">
        <w:rPr>
          <w:rFonts w:ascii="Tahoma" w:eastAsia="Times New Roman" w:hAnsi="Tahoma" w:cs="Tahoma"/>
          <w:sz w:val="18"/>
          <w:szCs w:val="20"/>
          <w:lang w:eastAsia="pl-PL"/>
        </w:rPr>
        <w:t>dpowiadać wymaganiom podanym w S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ST D-07.01.01 „Oznakowanie poziome”. 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u w:val="single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5.5.3. </w:t>
      </w:r>
      <w:r w:rsidRPr="00050108">
        <w:rPr>
          <w:rFonts w:ascii="Tahoma" w:eastAsia="Times New Roman" w:hAnsi="Tahoma" w:cs="Tahoma"/>
          <w:sz w:val="18"/>
          <w:szCs w:val="20"/>
          <w:u w:val="single"/>
          <w:lang w:eastAsia="pl-PL"/>
        </w:rPr>
        <w:t>Znakowanie materiałami prefabrykowanymi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Prefabrykowane materiały do znakowania nawierzchni, odpowiadające wymaganiom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pktu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2, w tym:</w:t>
      </w:r>
    </w:p>
    <w:p w:rsidR="00050108" w:rsidRPr="00050108" w:rsidRDefault="00050108" w:rsidP="00AA62AD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samoprzylepne folie w postaci symboli, znaków, taśm o szerokości linii oznakowania, należy ułożyć w wyznaczonych miejscach, przyklejając je do jezdni na zimno przez docisk,</w:t>
      </w:r>
    </w:p>
    <w:p w:rsidR="00050108" w:rsidRPr="00050108" w:rsidRDefault="00050108" w:rsidP="00AA62AD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lastRenderedPageBreak/>
        <w:t>masy termoplastyczne w arkuszach należy ułożyć w wyznaczonych miejscach, podgrzać do temperatury określonej przez producenta, dzięki czemu masa nadtopi się, przyklejając do jezdni.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Układanie taśm można dokonywać ręcznie lub przy pomocy układarek sterowanych przez idącego pracownika.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22" w:name="_Toc316558881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5.6. Usuwanie elementów dotychczasowego oznakowania poziomego</w:t>
      </w:r>
      <w:bookmarkEnd w:id="22"/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W przypadku konieczności usunięcia istniejącego oznakowania poziomego, czynność tę należy wykonać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jak najmniej uszkadzając nawierzchnię.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Zaleca się wykonywać usuwanie oznakowania:</w:t>
      </w:r>
    </w:p>
    <w:p w:rsidR="00050108" w:rsidRPr="00EF58A9" w:rsidRDefault="00050108" w:rsidP="00B3158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EF58A9">
        <w:rPr>
          <w:rFonts w:ascii="Tahoma" w:eastAsia="Times New Roman" w:hAnsi="Tahoma" w:cs="Tahoma"/>
          <w:sz w:val="18"/>
          <w:szCs w:val="20"/>
          <w:lang w:eastAsia="pl-PL"/>
        </w:rPr>
        <w:t xml:space="preserve">cienkowarstwowego, metodą: </w:t>
      </w:r>
      <w:r w:rsidR="00B3158F" w:rsidRPr="00EF58A9">
        <w:rPr>
          <w:rFonts w:ascii="Tahoma" w:eastAsia="Times New Roman" w:hAnsi="Tahoma" w:cs="Tahoma"/>
          <w:sz w:val="18"/>
          <w:szCs w:val="20"/>
          <w:lang w:eastAsia="pl-PL"/>
        </w:rPr>
        <w:t>frezowania mechanicznego lub wodą pod wysokim ciśnieniem (</w:t>
      </w:r>
      <w:proofErr w:type="spellStart"/>
      <w:r w:rsidR="00B3158F" w:rsidRPr="00EF58A9">
        <w:rPr>
          <w:rFonts w:ascii="Tahoma" w:eastAsia="Times New Roman" w:hAnsi="Tahoma" w:cs="Tahoma"/>
          <w:sz w:val="18"/>
          <w:szCs w:val="20"/>
          <w:lang w:eastAsia="pl-PL"/>
        </w:rPr>
        <w:t>waterblasting</w:t>
      </w:r>
      <w:proofErr w:type="spellEnd"/>
      <w:r w:rsidR="00B3158F" w:rsidRPr="00EF58A9">
        <w:rPr>
          <w:rFonts w:ascii="Tahoma" w:eastAsia="Times New Roman" w:hAnsi="Tahoma" w:cs="Tahoma"/>
          <w:sz w:val="18"/>
          <w:szCs w:val="20"/>
          <w:lang w:eastAsia="pl-PL"/>
        </w:rPr>
        <w:t>), piaskowania, śrutowania, trawienia, wypalania lub zamalowania,</w:t>
      </w:r>
    </w:p>
    <w:p w:rsidR="00050108" w:rsidRPr="00050108" w:rsidRDefault="00050108" w:rsidP="00AA62A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grubowarstwowego</w:t>
      </w:r>
      <w:r w:rsidRPr="00EF58A9">
        <w:rPr>
          <w:rFonts w:ascii="Tahoma" w:eastAsia="Times New Roman" w:hAnsi="Tahoma" w:cs="Tahoma"/>
          <w:sz w:val="18"/>
          <w:szCs w:val="20"/>
          <w:lang w:eastAsia="pl-PL"/>
        </w:rPr>
        <w:t>, metodą</w:t>
      </w:r>
      <w:r w:rsidR="00B3158F" w:rsidRPr="00EF58A9">
        <w:rPr>
          <w:rFonts w:ascii="Tahoma" w:eastAsia="Times New Roman" w:hAnsi="Tahoma" w:cs="Tahoma"/>
          <w:sz w:val="18"/>
          <w:szCs w:val="20"/>
          <w:lang w:eastAsia="pl-PL"/>
        </w:rPr>
        <w:t>:</w:t>
      </w:r>
      <w:r w:rsidRPr="00EF58A9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="00B3158F" w:rsidRPr="00EF58A9">
        <w:rPr>
          <w:rFonts w:ascii="Tahoma" w:eastAsia="Times New Roman" w:hAnsi="Tahoma" w:cs="Tahoma"/>
          <w:sz w:val="18"/>
          <w:szCs w:val="20"/>
          <w:lang w:eastAsia="pl-PL"/>
        </w:rPr>
        <w:t>jw.</w:t>
      </w:r>
      <w:r w:rsidRPr="00EF58A9">
        <w:rPr>
          <w:rFonts w:ascii="Tahoma" w:eastAsia="Times New Roman" w:hAnsi="Tahoma" w:cs="Tahoma"/>
          <w:sz w:val="18"/>
          <w:szCs w:val="20"/>
          <w:lang w:eastAsia="pl-PL"/>
        </w:rPr>
        <w:t>,</w:t>
      </w:r>
    </w:p>
    <w:p w:rsidR="00050108" w:rsidRPr="00050108" w:rsidRDefault="00050108" w:rsidP="00AA62A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punktowego, prostymi narzędziami mechanicznymi.</w:t>
      </w: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Środki zastosowane do usunięcia oznakowania nie mogą wpływać ujemnie na przyczepność nowego oznakowania do podłoża, na jego szorstkość, trwałość oraz na właściwości podłoża.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Usuwanie oznakowania na czas robót drogowych może być wykonane przez zamalowanie nietrwałą farbą barwy czarnej.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936BC1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8"/>
          <w:lang w:eastAsia="pl-PL"/>
        </w:rPr>
      </w:pPr>
      <w:bookmarkStart w:id="23" w:name="_Toc316558882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5.7. </w:t>
      </w:r>
      <w:r w:rsidRPr="00936BC1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Odwiezienie materiałów pozostałych po usunięciu oznakowania</w:t>
      </w:r>
      <w:bookmarkEnd w:id="23"/>
    </w:p>
    <w:p w:rsidR="00050108" w:rsidRPr="00936BC1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936BC1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Materiały pozostałe po usunięciu oznakowania należy </w:t>
      </w:r>
      <w:r w:rsidR="00936BC1" w:rsidRPr="00936BC1">
        <w:rPr>
          <w:rFonts w:ascii="Tahoma" w:hAnsi="Tahoma" w:cs="Tahoma"/>
          <w:sz w:val="18"/>
        </w:rPr>
        <w:t>wywieźć z terenu budowy</w:t>
      </w:r>
      <w:r w:rsidRPr="00936BC1">
        <w:rPr>
          <w:rFonts w:ascii="Tahoma" w:eastAsia="Times New Roman" w:hAnsi="Tahoma" w:cs="Tahoma"/>
          <w:sz w:val="18"/>
          <w:szCs w:val="20"/>
          <w:lang w:eastAsia="pl-PL"/>
        </w:rPr>
        <w:t>, aby nie zanieczyszczały środowiska</w:t>
      </w:r>
      <w:r w:rsidR="00936BC1" w:rsidRPr="00936BC1">
        <w:rPr>
          <w:rFonts w:ascii="Tahoma" w:eastAsia="Times New Roman" w:hAnsi="Tahoma" w:cs="Tahoma"/>
          <w:sz w:val="18"/>
          <w:szCs w:val="20"/>
          <w:lang w:eastAsia="pl-PL"/>
        </w:rPr>
        <w:t xml:space="preserve">. </w:t>
      </w:r>
      <w:r w:rsidR="000D49AF" w:rsidRPr="00936BC1">
        <w:rPr>
          <w:rFonts w:ascii="Tahoma" w:eastAsia="Times New Roman" w:hAnsi="Tahoma" w:cs="Tahoma"/>
          <w:sz w:val="18"/>
          <w:szCs w:val="20"/>
          <w:lang w:eastAsia="pl-PL"/>
        </w:rPr>
        <w:t>Wykonawca wywiezie</w:t>
      </w:r>
      <w:r w:rsidR="00936BC1" w:rsidRPr="00936BC1">
        <w:rPr>
          <w:rFonts w:ascii="Tahoma" w:eastAsia="Times New Roman" w:hAnsi="Tahoma" w:cs="Tahoma"/>
          <w:sz w:val="18"/>
          <w:szCs w:val="20"/>
          <w:lang w:eastAsia="pl-PL"/>
        </w:rPr>
        <w:t xml:space="preserve"> je wraz z utylizacją</w:t>
      </w:r>
      <w:r w:rsidR="000D49AF" w:rsidRPr="00936BC1">
        <w:rPr>
          <w:rFonts w:ascii="Tahoma" w:eastAsia="Times New Roman" w:hAnsi="Tahoma" w:cs="Tahoma"/>
          <w:sz w:val="18"/>
          <w:szCs w:val="20"/>
          <w:lang w:eastAsia="pl-PL"/>
        </w:rPr>
        <w:t xml:space="preserve"> na własny koszt</w:t>
      </w:r>
      <w:r w:rsidRPr="00936BC1">
        <w:rPr>
          <w:rFonts w:ascii="Tahoma" w:eastAsia="Times New Roman" w:hAnsi="Tahoma" w:cs="Tahoma"/>
          <w:sz w:val="18"/>
          <w:szCs w:val="20"/>
          <w:lang w:eastAsia="pl-PL"/>
        </w:rPr>
        <w:t>.</w:t>
      </w:r>
    </w:p>
    <w:p w:rsidR="00936BC1" w:rsidRPr="000D49AF" w:rsidRDefault="00936BC1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20"/>
          <w:lang w:eastAsia="pl-PL"/>
        </w:rPr>
      </w:pP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5.8. Oznakowanie robót</w:t>
      </w:r>
    </w:p>
    <w:p w:rsid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              Za bezpieczeństwo ruchu w obrębie robót odpowiedzialny jest Wykonawca robót. Oznakowanie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i zabezpieczenie robót musi być zgodne z opracowanym projektem organizacji ruchu, zaopiniowanym przez Komendanta Wojewódzkiego Policji i zatwierdzonym przez </w:t>
      </w:r>
      <w:r w:rsidR="00B252E8">
        <w:rPr>
          <w:rFonts w:ascii="Tahoma" w:eastAsia="Times New Roman" w:hAnsi="Tahoma" w:cs="Tahoma"/>
          <w:sz w:val="18"/>
          <w:szCs w:val="20"/>
          <w:lang w:eastAsia="pl-PL"/>
        </w:rPr>
        <w:t>zarządcę drogi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. Do oznakowania i zabezpieczenia robót należy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stosować, ·co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najmniej  zasady określone  w „Instrukcji oznakowania robót prowadzonych w pasie drogowym” oraz uwzględnić wymogi Zamawiającego odnośnie znaków drogowych i urządzeń bezpieczeństwa ruchu podane w materiałach przetargowych. </w:t>
      </w:r>
    </w:p>
    <w:p w:rsidR="00A211CA" w:rsidRDefault="00A211CA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811259" w:rsidRDefault="00811259" w:rsidP="00811259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20"/>
          <w:lang w:eastAsia="pl-PL"/>
        </w:rPr>
        <w:t>Zamawiający zastrzega , iż zarówno termin oddania do użytku, jak i długości odcinków dróg mogą ulec zmianie (wydłużeniu lub skróceniu lub dodaniu nowych odcinków).</w:t>
      </w:r>
    </w:p>
    <w:p w:rsidR="00811259" w:rsidRDefault="00811259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4546AD" w:rsidRPr="00050108" w:rsidRDefault="004546AD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050108">
      <w:pPr>
        <w:keepNext/>
        <w:widowControl w:val="0"/>
        <w:numPr>
          <w:ilvl w:val="12"/>
          <w:numId w:val="0"/>
        </w:numPr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bookmarkStart w:id="24" w:name="_Toc316558883"/>
      <w:r w:rsidRPr="0005010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6. KONTROLA JAKOŚCI ROBÓT</w:t>
      </w:r>
      <w:bookmarkEnd w:id="24"/>
    </w:p>
    <w:p w:rsidR="00050108" w:rsidRPr="00050108" w:rsidRDefault="00050108" w:rsidP="00050108">
      <w:pPr>
        <w:keepNext/>
        <w:numPr>
          <w:ilvl w:val="12"/>
          <w:numId w:val="0"/>
        </w:numPr>
        <w:spacing w:after="0" w:line="240" w:lineRule="auto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25" w:name="_Toc316558884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6.1. Ogólne zasady kontroli jakości robót</w:t>
      </w:r>
      <w:bookmarkEnd w:id="25"/>
    </w:p>
    <w:p w:rsidR="00050108" w:rsidRPr="00050108" w:rsidRDefault="00050108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Za jakość zastosowanych materiałów i wykonanych robót oraz ich zgodność z wymaganiami SST i poleceniami Przedstawiciela Zamawiającego odpowiedzialny  jest Wykonawca robót.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26" w:name="_Toc316558885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6.2. Badania przed przystąpieniem do robót</w:t>
      </w:r>
      <w:bookmarkEnd w:id="26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Przed przystąpieniem do robót Wykonawca powinien:</w:t>
      </w:r>
    </w:p>
    <w:p w:rsidR="00050108" w:rsidRPr="00050108" w:rsidRDefault="00050108" w:rsidP="00AA62AD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uzyskać wymagane dokumenty dopuszczające wyroby budowlane do obrotu i powszechnego stosowania (dotyczy aprobat technicznych, certyfikatów, deklaracji zgodności itp. materiałów przewidzianych do użycia),</w:t>
      </w:r>
    </w:p>
    <w:p w:rsidR="00050108" w:rsidRPr="00050108" w:rsidRDefault="00050108" w:rsidP="00AA62AD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wykonać ewentualne badania właściwości materiałów, ,</w:t>
      </w:r>
    </w:p>
    <w:p w:rsidR="00050108" w:rsidRPr="00050108" w:rsidRDefault="00050108" w:rsidP="00AA62AD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przedstawić dokumenty oraz ew. wyniki badań Przedstawicielowi Zamawiającego do akceptacji.</w:t>
      </w:r>
    </w:p>
    <w:p w:rsidR="00050108" w:rsidRPr="00050108" w:rsidRDefault="00050108" w:rsidP="00AA62AD">
      <w:pPr>
        <w:spacing w:after="0" w:line="240" w:lineRule="auto"/>
        <w:ind w:left="283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keepNext/>
        <w:spacing w:after="0"/>
        <w:jc w:val="both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27" w:name="_Toc316558886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6.3. Zasady kontroli jakości robót </w:t>
      </w:r>
      <w:r w:rsidRPr="00E761CD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przy </w:t>
      </w:r>
      <w:r w:rsidR="00E761CD" w:rsidRPr="00E761CD">
        <w:rPr>
          <w:rFonts w:ascii="Tahoma" w:eastAsia="Times New Roman" w:hAnsi="Tahoma" w:cs="Tahoma"/>
          <w:b/>
          <w:sz w:val="18"/>
          <w:szCs w:val="20"/>
          <w:lang w:eastAsia="pl-PL"/>
        </w:rPr>
        <w:t>wykonaniu i odnowy</w:t>
      </w:r>
      <w:r w:rsidRPr="00E761CD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 oznakowania</w:t>
      </w:r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 xml:space="preserve"> poziomego</w:t>
      </w:r>
      <w:bookmarkEnd w:id="27"/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Zasady kontroli jakości robót przy </w:t>
      </w:r>
      <w:r w:rsidR="00E761CD">
        <w:rPr>
          <w:rFonts w:ascii="Tahoma" w:eastAsia="Times New Roman" w:hAnsi="Tahoma" w:cs="Tahoma"/>
          <w:sz w:val="18"/>
          <w:szCs w:val="20"/>
          <w:lang w:eastAsia="pl-PL"/>
        </w:rPr>
        <w:t>wykonaniu i odnowy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oznakowania poziomego powinny</w:t>
      </w:r>
      <w:r w:rsidR="004546AD">
        <w:rPr>
          <w:rFonts w:ascii="Tahoma" w:eastAsia="Times New Roman" w:hAnsi="Tahoma" w:cs="Tahoma"/>
          <w:sz w:val="18"/>
          <w:szCs w:val="20"/>
          <w:lang w:eastAsia="pl-PL"/>
        </w:rPr>
        <w:t xml:space="preserve"> odpowiadać warunkom podanym w S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ST D-0</w:t>
      </w:r>
      <w:r w:rsidR="00D565BB">
        <w:rPr>
          <w:rFonts w:ascii="Tahoma" w:eastAsia="Times New Roman" w:hAnsi="Tahoma" w:cs="Tahoma"/>
          <w:sz w:val="18"/>
          <w:szCs w:val="20"/>
          <w:lang w:eastAsia="pl-PL"/>
        </w:rPr>
        <w:t>0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.0</w:t>
      </w:r>
      <w:r w:rsidR="00D565BB">
        <w:rPr>
          <w:rFonts w:ascii="Tahoma" w:eastAsia="Times New Roman" w:hAnsi="Tahoma" w:cs="Tahoma"/>
          <w:sz w:val="18"/>
          <w:szCs w:val="20"/>
          <w:lang w:eastAsia="pl-PL"/>
        </w:rPr>
        <w:t>0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.0</w:t>
      </w:r>
      <w:r w:rsidR="00D565BB">
        <w:rPr>
          <w:rFonts w:ascii="Tahoma" w:eastAsia="Times New Roman" w:hAnsi="Tahoma" w:cs="Tahoma"/>
          <w:sz w:val="18"/>
          <w:szCs w:val="20"/>
          <w:lang w:eastAsia="pl-PL"/>
        </w:rPr>
        <w:t>0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„</w:t>
      </w:r>
      <w:r w:rsidR="00D565BB">
        <w:rPr>
          <w:rFonts w:ascii="Tahoma" w:eastAsia="Times New Roman" w:hAnsi="Tahoma" w:cs="Tahoma"/>
          <w:sz w:val="18"/>
          <w:szCs w:val="20"/>
          <w:lang w:eastAsia="pl-PL"/>
        </w:rPr>
        <w:t>Wymagania ogólne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”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pkt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6. Zamawiający ma prawo wykonać wszystkie badania wykonanego oznakowania na zgodność z wymaganiami POD-97.</w:t>
      </w:r>
    </w:p>
    <w:p w:rsidR="00050108" w:rsidRPr="00050108" w:rsidRDefault="00050108" w:rsidP="00AA62AD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u w:val="single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u w:val="single"/>
          <w:lang w:eastAsia="pl-PL"/>
        </w:rPr>
        <w:t>6.3.1. Widzialność w dzień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Do określenia odbicia światła dziennego lub odbicia oświetlenia drogi od oznakowania stosuje się współczynnik luminancji w świetle rozproszonym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Qd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. 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Wartość współczynnika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Qd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dla oznakowania nowego w ciągu 14 - 30 dni po wykonaniu powinna wynosić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>dla oznakowania świeżego, barwy:</w:t>
      </w:r>
    </w:p>
    <w:p w:rsidR="00050108" w:rsidRP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białej, co najmniej 130 mcd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m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-2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lx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-1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, klasa Q3, </w:t>
      </w:r>
    </w:p>
    <w:p w:rsidR="00050108" w:rsidRP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co najmniej 100 mcd m-2 lx-1), klasa Q2,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Wartość współczynnika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Qd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powinna wynosić dla oznakowania eksploatowanego po 30 dniu od wykonania,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 xml:space="preserve">w ciągu całego okresu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użytkowania, barwy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:</w:t>
      </w:r>
    </w:p>
    <w:p w:rsidR="00050108" w:rsidRP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co najmniej 100 mcd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m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-2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lx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-1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, klasa Q2, </w:t>
      </w:r>
    </w:p>
    <w:p w:rsidR="00050108" w:rsidRP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co najmniej 80 mcd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m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-2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lx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-1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, klasa Q1.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u w:val="single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u w:val="single"/>
          <w:lang w:eastAsia="pl-PL"/>
        </w:rPr>
        <w:t xml:space="preserve"> 6.3.2. Widzialność w nocy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Za miarę widzialności w nocy przyjęto powierzchniowy współczynnik odblasku R</w:t>
      </w:r>
      <w:r w:rsidRPr="00050108">
        <w:rPr>
          <w:rFonts w:ascii="Tahoma" w:eastAsia="Times New Roman" w:hAnsi="Tahoma" w:cs="Tahoma"/>
          <w:sz w:val="18"/>
          <w:szCs w:val="20"/>
          <w:vertAlign w:val="subscript"/>
          <w:lang w:eastAsia="pl-PL"/>
        </w:rPr>
        <w:t>L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, określany według PN-EN 1436:2000 z uwzględnieniem podziału na klasy PN-EN 1436:2000/A1:2005.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lastRenderedPageBreak/>
        <w:t>Wartość współczynnika R</w:t>
      </w:r>
      <w:r w:rsidRPr="00050108">
        <w:rPr>
          <w:rFonts w:ascii="Tahoma" w:eastAsia="Times New Roman" w:hAnsi="Tahoma" w:cs="Tahoma"/>
          <w:sz w:val="18"/>
          <w:szCs w:val="20"/>
          <w:vertAlign w:val="subscript"/>
          <w:lang w:eastAsia="pl-PL"/>
        </w:rPr>
        <w:t>L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powinna wynosić dla oznakowania nowego (w stanie suchym) w ciągu 14 - 30 dni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>po wykonaniu, barwy:</w:t>
      </w:r>
    </w:p>
    <w:p w:rsidR="00050108" w:rsidRP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białej, co najmniej 200 mcd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m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-2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lx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-1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, klasa R4,</w:t>
      </w:r>
    </w:p>
    <w:p w:rsidR="00050108" w:rsidRP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żółtej, co najmniej 150 mcd mcd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m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-2</w:t>
      </w:r>
      <w:r w:rsidRPr="00050108">
        <w:rPr>
          <w:rFonts w:ascii="Arial" w:eastAsia="Times New Roman" w:hAnsi="Arial" w:cs="Arial"/>
          <w:sz w:val="18"/>
          <w:szCs w:val="20"/>
          <w:lang w:eastAsia="pl-PL"/>
        </w:rPr>
        <w:t>•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lx</w:t>
      </w:r>
      <w:r w:rsidRPr="00050108">
        <w:rPr>
          <w:rFonts w:ascii="Tahoma" w:eastAsia="Times New Roman" w:hAnsi="Tahoma" w:cs="Tahoma"/>
          <w:sz w:val="18"/>
          <w:szCs w:val="20"/>
          <w:vertAlign w:val="superscript"/>
          <w:lang w:eastAsia="pl-PL"/>
        </w:rPr>
        <w:t>-1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, klasa R3,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Wartość współczynnika R</w:t>
      </w:r>
      <w:r w:rsidRPr="00050108">
        <w:rPr>
          <w:rFonts w:ascii="Tahoma" w:eastAsia="Times New Roman" w:hAnsi="Tahoma" w:cs="Tahoma"/>
          <w:sz w:val="18"/>
          <w:szCs w:val="20"/>
          <w:vertAlign w:val="subscript"/>
          <w:lang w:eastAsia="pl-PL"/>
        </w:rPr>
        <w:t>L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powinna wynosić dla oznakowania eksploatowanego w ciągu od </w:t>
      </w:r>
      <w:r w:rsidR="00991B4D">
        <w:rPr>
          <w:rFonts w:ascii="Tahoma" w:eastAsia="Times New Roman" w:hAnsi="Tahoma" w:cs="Tahoma"/>
          <w:sz w:val="18"/>
          <w:szCs w:val="20"/>
          <w:lang w:eastAsia="pl-PL"/>
        </w:rPr>
        <w:t>1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do 6 miesięcy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 xml:space="preserve">po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wykonaniu, barwy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:</w:t>
      </w:r>
    </w:p>
    <w:p w:rsidR="00050108" w:rsidRP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białej, co najmniej 150 mcd m-2 lx-1, klasa R3</w:t>
      </w:r>
    </w:p>
    <w:p w:rsidR="00050108" w:rsidRP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żółtej, co najmniej 100 mcd m-2 lx-1 , klasa R2.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Wartość współczynnika R</w:t>
      </w:r>
      <w:r w:rsidRPr="00050108">
        <w:rPr>
          <w:rFonts w:ascii="Tahoma" w:eastAsia="Times New Roman" w:hAnsi="Tahoma" w:cs="Tahoma"/>
          <w:sz w:val="18"/>
          <w:szCs w:val="20"/>
          <w:vertAlign w:val="subscript"/>
          <w:lang w:eastAsia="pl-PL"/>
        </w:rPr>
        <w:t>L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powinna wynosić dla oznakowania eksploatowanego od 7 miesiąca po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wykonaniu, barwy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:</w:t>
      </w:r>
    </w:p>
    <w:p w:rsidR="00050108" w:rsidRP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białej, co najmniej 100 mcd m-2 lx-1 , klasa R2,</w:t>
      </w:r>
    </w:p>
    <w:p w:rsidR="00050108" w:rsidRDefault="00050108" w:rsidP="00AA62AD">
      <w:pPr>
        <w:tabs>
          <w:tab w:val="left" w:pos="851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-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>żółtej tymczasowej, co najmniej 100 mcd m-2 lx-1 , klasa R2.</w:t>
      </w:r>
    </w:p>
    <w:p w:rsidR="00022EB3" w:rsidRDefault="00022EB3" w:rsidP="00022EB3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AA62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u w:val="single"/>
          <w:lang w:eastAsia="pl-PL"/>
        </w:rPr>
        <w:t>6.3.3. Szorstkość oznakowania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Miarą szorstkości oznakowania jest wartość wskaźnika szorstkości SRT (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Skid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Resistance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Tester) mierzona wahadłem angielskim, wg PN-EN 1436:2000 lub POD-97 i POD-2006 lub metodą równoważną. Wartość SRT symuluje warunki, w których pojazd wyposażony w typowe opony hamuje z blokadą kół przy prędkości 50 km/h na mokrej nawierzchni.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Wymaga się, aby wartość wskaźnika szorstkości SRT w ciągu całego okresu użytkowania wynosiła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>na oznakowaniu, co najmniej 45 jednostek SRT (klasa S1).</w:t>
      </w:r>
    </w:p>
    <w:p w:rsidR="00050108" w:rsidRPr="00050108" w:rsidRDefault="00050108" w:rsidP="00AA62AD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Wykonywanie pomiarów wskaźnika szorstkości SRT dotyczy oznakowań jednolitych, płaskich, wykonanych farbami, masami termoplastycznymi, masami chemoutwardzalnymi i taśmami. Pomiar na oznakowaniu strukturalnym jest, jeśli możliwy, to nie miarodajny. W przypadku oznakowania z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wygarbieniami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i punktowymi elementami odblaskowymi pomiar nie jest możliwy.</w:t>
      </w:r>
    </w:p>
    <w:p w:rsidR="00022EB3" w:rsidRPr="00050108" w:rsidRDefault="00050108" w:rsidP="00022EB3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UWAGA: Wskaźnik szorstkości SRT w normach powierzchniowych został nazwany PTV (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Polishing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Test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Value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)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 xml:space="preserve">za PN-EN 13 036-4:2004. Metoda pomiaru i sprzęt do jego wykonania są identyczne z przyjętymi w PN-EN 1436:2000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>dla oznakowań poziomych.</w:t>
      </w:r>
    </w:p>
    <w:p w:rsidR="00050108" w:rsidRDefault="00050108" w:rsidP="00050108">
      <w:pPr>
        <w:spacing w:after="0" w:line="240" w:lineRule="auto"/>
        <w:ind w:firstLine="426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050108">
      <w:pPr>
        <w:spacing w:after="0" w:line="240" w:lineRule="auto"/>
        <w:rPr>
          <w:rFonts w:ascii="Tahoma" w:eastAsia="Times New Roman" w:hAnsi="Tahoma" w:cs="Tahoma"/>
          <w:sz w:val="18"/>
          <w:szCs w:val="20"/>
          <w:u w:val="single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u w:val="single"/>
          <w:lang w:eastAsia="pl-PL"/>
        </w:rPr>
        <w:t>6.3.4. Trwałość oznakowania</w:t>
      </w:r>
    </w:p>
    <w:p w:rsidR="00050108" w:rsidRPr="00050108" w:rsidRDefault="00050108" w:rsidP="00050108">
      <w:pPr>
        <w:spacing w:after="0" w:line="240" w:lineRule="auto"/>
        <w:ind w:firstLine="426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Trwałość oznakowania cienkowarstwowego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oceniana, jako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stopień zużycia w 10-stopniowej skali LCPC określonej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 xml:space="preserve">w POD-97 lub POD-2006 powinna wynosić po 12-miesięcznym okresie eksploatacji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oznakowania:, co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najmniej 6.</w:t>
      </w:r>
    </w:p>
    <w:p w:rsidR="00050108" w:rsidRPr="00050108" w:rsidRDefault="00050108" w:rsidP="00050108">
      <w:pPr>
        <w:spacing w:after="0" w:line="240" w:lineRule="auto"/>
        <w:ind w:firstLine="426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Taka metoda oceny znajduje szczególnie zastosowanie do oceny przydatności materiałów do poziomego oznakowania dróg.</w:t>
      </w:r>
    </w:p>
    <w:p w:rsidR="00050108" w:rsidRDefault="00050108" w:rsidP="00050108">
      <w:pPr>
        <w:spacing w:after="0" w:line="240" w:lineRule="auto"/>
        <w:ind w:firstLine="426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W celach kontrolnych trwałość jest oceniana pośrednio przez sprawdzenie spełniania wymagań widoczności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>w dzień, w nocy i szorstkości.</w:t>
      </w:r>
    </w:p>
    <w:p w:rsidR="00A03337" w:rsidRPr="00050108" w:rsidRDefault="00A03337" w:rsidP="00050108">
      <w:pPr>
        <w:spacing w:after="0" w:line="240" w:lineRule="auto"/>
        <w:ind w:firstLine="426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A03337" w:rsidRPr="00050108" w:rsidRDefault="00A03337" w:rsidP="00A03337">
      <w:pPr>
        <w:spacing w:after="0" w:line="240" w:lineRule="auto"/>
        <w:rPr>
          <w:rFonts w:ascii="Tahoma" w:eastAsia="Times New Roman" w:hAnsi="Tahoma" w:cs="Tahoma"/>
          <w:sz w:val="18"/>
          <w:szCs w:val="20"/>
          <w:u w:val="single"/>
          <w:lang w:eastAsia="pl-PL"/>
        </w:rPr>
      </w:pPr>
      <w:bookmarkStart w:id="28" w:name="_Toc316558887"/>
      <w:r w:rsidRPr="00050108">
        <w:rPr>
          <w:rFonts w:ascii="Tahoma" w:eastAsia="Times New Roman" w:hAnsi="Tahoma" w:cs="Tahoma"/>
          <w:sz w:val="18"/>
          <w:szCs w:val="20"/>
          <w:u w:val="single"/>
          <w:lang w:eastAsia="pl-PL"/>
        </w:rPr>
        <w:t>6.3.</w:t>
      </w:r>
      <w:r>
        <w:rPr>
          <w:rFonts w:ascii="Tahoma" w:eastAsia="Times New Roman" w:hAnsi="Tahoma" w:cs="Tahoma"/>
          <w:sz w:val="18"/>
          <w:szCs w:val="20"/>
          <w:u w:val="single"/>
          <w:lang w:eastAsia="pl-PL"/>
        </w:rPr>
        <w:t>5</w:t>
      </w:r>
      <w:r w:rsidRPr="00050108">
        <w:rPr>
          <w:rFonts w:ascii="Tahoma" w:eastAsia="Times New Roman" w:hAnsi="Tahoma" w:cs="Tahoma"/>
          <w:sz w:val="18"/>
          <w:szCs w:val="20"/>
          <w:u w:val="single"/>
          <w:lang w:eastAsia="pl-PL"/>
        </w:rPr>
        <w:t xml:space="preserve">. </w:t>
      </w:r>
      <w:r w:rsidR="009D1D52">
        <w:rPr>
          <w:rFonts w:ascii="Tahoma" w:eastAsia="Times New Roman" w:hAnsi="Tahoma" w:cs="Tahoma"/>
          <w:sz w:val="18"/>
          <w:szCs w:val="20"/>
          <w:u w:val="single"/>
          <w:lang w:eastAsia="pl-PL"/>
        </w:rPr>
        <w:t>T</w:t>
      </w:r>
      <w:r>
        <w:rPr>
          <w:rFonts w:ascii="Tahoma" w:eastAsia="Times New Roman" w:hAnsi="Tahoma" w:cs="Tahoma"/>
          <w:sz w:val="18"/>
          <w:szCs w:val="20"/>
          <w:u w:val="single"/>
          <w:lang w:eastAsia="pl-PL"/>
        </w:rPr>
        <w:t>rasowaniu oznakowania poziomego</w:t>
      </w:r>
    </w:p>
    <w:p w:rsidR="00991B4D" w:rsidRPr="00A03337" w:rsidRDefault="009D1D52" w:rsidP="000501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Nie dopuszcza się „falowania” przy trasowaniu i wykonywaniu oznakowania poziomego, tj. oznakowanie poziome musi być wykonane równolegle do osi jezdni. </w:t>
      </w:r>
    </w:p>
    <w:p w:rsidR="00A03337" w:rsidRDefault="00A03337" w:rsidP="000501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546AD" w:rsidRDefault="004546AD" w:rsidP="000501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0108" w:rsidRPr="00050108" w:rsidRDefault="00050108" w:rsidP="000501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0108">
        <w:rPr>
          <w:rFonts w:ascii="Tahoma" w:eastAsia="Times New Roman" w:hAnsi="Tahoma" w:cs="Tahoma"/>
          <w:b/>
          <w:sz w:val="20"/>
          <w:szCs w:val="20"/>
          <w:lang w:eastAsia="pl-PL"/>
        </w:rPr>
        <w:t>7. OBMIAR ROBÓT</w:t>
      </w:r>
      <w:bookmarkEnd w:id="28"/>
    </w:p>
    <w:p w:rsidR="00186565" w:rsidRDefault="00050108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Jednostką obmiarową </w:t>
      </w:r>
      <w:r w:rsidR="00186565">
        <w:rPr>
          <w:rFonts w:ascii="Tahoma" w:eastAsia="Times New Roman" w:hAnsi="Tahoma" w:cs="Tahoma"/>
          <w:sz w:val="18"/>
          <w:szCs w:val="20"/>
          <w:lang w:eastAsia="pl-PL"/>
        </w:rPr>
        <w:t>wykonania</w:t>
      </w:r>
      <w:r w:rsidR="00202DD5">
        <w:rPr>
          <w:rFonts w:ascii="Tahoma" w:eastAsia="Times New Roman" w:hAnsi="Tahoma" w:cs="Tahoma"/>
          <w:sz w:val="18"/>
          <w:szCs w:val="20"/>
          <w:lang w:eastAsia="pl-PL"/>
        </w:rPr>
        <w:t>:</w:t>
      </w:r>
    </w:p>
    <w:p w:rsidR="00050108" w:rsidRDefault="00186565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20"/>
          <w:lang w:eastAsia="pl-PL"/>
        </w:rPr>
        <w:t>- dla</w:t>
      </w:r>
      <w:r w:rsidR="00050108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oznakowania poziomego jest </w:t>
      </w:r>
      <w:r w:rsidR="00050108" w:rsidRPr="00050108">
        <w:rPr>
          <w:rFonts w:ascii="Tahoma" w:eastAsia="Times New Roman" w:hAnsi="Tahoma" w:cs="Tahoma"/>
          <w:b/>
          <w:sz w:val="18"/>
          <w:szCs w:val="20"/>
          <w:lang w:eastAsia="pl-PL"/>
        </w:rPr>
        <w:t>1m</w:t>
      </w:r>
      <w:r w:rsidR="00050108" w:rsidRPr="00050108">
        <w:rPr>
          <w:rFonts w:ascii="Tahoma" w:eastAsia="Times New Roman" w:hAnsi="Tahoma" w:cs="Tahoma"/>
          <w:b/>
          <w:sz w:val="18"/>
          <w:szCs w:val="20"/>
          <w:vertAlign w:val="superscript"/>
          <w:lang w:eastAsia="pl-PL"/>
        </w:rPr>
        <w:t>2</w:t>
      </w:r>
      <w:r w:rsidR="00050108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(metr kwadratowy) powierzchni naniesionych</w:t>
      </w:r>
      <w:r w:rsidR="006C6F8B">
        <w:rPr>
          <w:rFonts w:ascii="Tahoma" w:eastAsia="Times New Roman" w:hAnsi="Tahoma" w:cs="Tahoma"/>
          <w:sz w:val="18"/>
          <w:szCs w:val="20"/>
          <w:lang w:eastAsia="pl-PL"/>
        </w:rPr>
        <w:t>/usuniętych</w:t>
      </w:r>
      <w:r w:rsidR="00050108"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znaków.</w:t>
      </w:r>
    </w:p>
    <w:p w:rsidR="00050108" w:rsidRPr="00202DD5" w:rsidRDefault="00202DD5" w:rsidP="00050108">
      <w:pPr>
        <w:keepNext/>
        <w:widowControl w:val="0"/>
        <w:numPr>
          <w:ilvl w:val="12"/>
          <w:numId w:val="0"/>
        </w:numPr>
        <w:spacing w:after="0" w:line="240" w:lineRule="auto"/>
        <w:outlineLvl w:val="0"/>
        <w:rPr>
          <w:rFonts w:ascii="Tahoma" w:eastAsia="Times New Roman" w:hAnsi="Tahoma" w:cs="Tahoma"/>
          <w:snapToGrid w:val="0"/>
          <w:sz w:val="18"/>
          <w:szCs w:val="20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20"/>
          <w:lang w:eastAsia="pl-PL"/>
        </w:rPr>
        <w:t xml:space="preserve">- </w:t>
      </w:r>
      <w:r w:rsidRPr="00202DD5">
        <w:rPr>
          <w:rFonts w:ascii="Tahoma" w:eastAsia="Times New Roman" w:hAnsi="Tahoma" w:cs="Tahoma"/>
          <w:snapToGrid w:val="0"/>
          <w:sz w:val="18"/>
          <w:szCs w:val="20"/>
          <w:lang w:eastAsia="pl-PL"/>
        </w:rPr>
        <w:t>dla</w:t>
      </w:r>
      <w:r>
        <w:rPr>
          <w:rFonts w:ascii="Tahoma" w:eastAsia="Times New Roman" w:hAnsi="Tahoma" w:cs="Tahoma"/>
          <w:snapToGrid w:val="0"/>
          <w:sz w:val="18"/>
          <w:szCs w:val="20"/>
          <w:lang w:eastAsia="pl-PL"/>
        </w:rPr>
        <w:t xml:space="preserve"> punktowych elementów odblaskowych jest </w:t>
      </w:r>
      <w:r w:rsidRPr="006164C0">
        <w:rPr>
          <w:rFonts w:ascii="Tahoma" w:eastAsia="Times New Roman" w:hAnsi="Tahoma" w:cs="Tahoma"/>
          <w:b/>
          <w:snapToGrid w:val="0"/>
          <w:sz w:val="18"/>
          <w:szCs w:val="20"/>
          <w:lang w:eastAsia="pl-PL"/>
        </w:rPr>
        <w:t>1 szt.</w:t>
      </w:r>
      <w:r>
        <w:rPr>
          <w:rFonts w:ascii="Tahoma" w:eastAsia="Times New Roman" w:hAnsi="Tahoma" w:cs="Tahoma"/>
          <w:snapToGrid w:val="0"/>
          <w:sz w:val="18"/>
          <w:szCs w:val="20"/>
          <w:lang w:eastAsia="pl-PL"/>
        </w:rPr>
        <w:t xml:space="preserve"> (sztuka)</w:t>
      </w:r>
      <w:r w:rsidR="006164C0">
        <w:rPr>
          <w:rFonts w:ascii="Tahoma" w:eastAsia="Times New Roman" w:hAnsi="Tahoma" w:cs="Tahoma"/>
          <w:snapToGrid w:val="0"/>
          <w:sz w:val="18"/>
          <w:szCs w:val="20"/>
          <w:lang w:eastAsia="pl-PL"/>
        </w:rPr>
        <w:t>.</w:t>
      </w:r>
    </w:p>
    <w:p w:rsidR="00202DD5" w:rsidRPr="00202DD5" w:rsidRDefault="00202DD5" w:rsidP="00050108">
      <w:pPr>
        <w:keepNext/>
        <w:widowControl w:val="0"/>
        <w:numPr>
          <w:ilvl w:val="12"/>
          <w:numId w:val="0"/>
        </w:numPr>
        <w:spacing w:after="0" w:line="240" w:lineRule="auto"/>
        <w:outlineLvl w:val="0"/>
        <w:rPr>
          <w:rFonts w:ascii="Tahoma" w:eastAsia="Times New Roman" w:hAnsi="Tahoma" w:cs="Tahoma"/>
          <w:snapToGrid w:val="0"/>
          <w:sz w:val="18"/>
          <w:szCs w:val="20"/>
          <w:lang w:eastAsia="pl-PL"/>
        </w:rPr>
      </w:pPr>
    </w:p>
    <w:p w:rsidR="00050108" w:rsidRPr="00050108" w:rsidRDefault="00050108" w:rsidP="00050108">
      <w:pPr>
        <w:keepNext/>
        <w:widowControl w:val="0"/>
        <w:numPr>
          <w:ilvl w:val="12"/>
          <w:numId w:val="0"/>
        </w:numPr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bookmarkStart w:id="29" w:name="_Toc316558888"/>
      <w:r w:rsidRPr="0005010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8. ODBIÓR ROBÓT</w:t>
      </w:r>
      <w:bookmarkEnd w:id="29"/>
    </w:p>
    <w:p w:rsidR="00050108" w:rsidRPr="00050108" w:rsidRDefault="00050108" w:rsidP="00050108">
      <w:pPr>
        <w:keepNext/>
        <w:numPr>
          <w:ilvl w:val="12"/>
          <w:numId w:val="0"/>
        </w:numPr>
        <w:spacing w:after="0" w:line="240" w:lineRule="auto"/>
        <w:outlineLvl w:val="1"/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</w:pPr>
      <w:bookmarkStart w:id="30" w:name="_Toc316558889"/>
      <w:r w:rsidRPr="00050108">
        <w:rPr>
          <w:rFonts w:ascii="Tahoma" w:eastAsia="Times New Roman" w:hAnsi="Tahoma" w:cs="Tahoma"/>
          <w:b/>
          <w:bCs/>
          <w:iCs/>
          <w:sz w:val="18"/>
          <w:szCs w:val="28"/>
          <w:lang w:eastAsia="pl-PL"/>
        </w:rPr>
        <w:t>8.1. Ogólne zasady odbioru robót</w:t>
      </w:r>
      <w:bookmarkEnd w:id="30"/>
    </w:p>
    <w:p w:rsidR="00050108" w:rsidRDefault="00050108" w:rsidP="00050108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  <w:t xml:space="preserve">Roboty uznaje się za wykonane zgodnie z dokumentacją projektową, SST i wymaganiami Przedstawiciela Zamawiającego, jeżeli wszystkie pomiary i badania, z zachowaniem tolerancji wg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pkt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6, dały wyniki pozytywne.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br/>
        <w:t xml:space="preserve">W przypadku stwierdzenia przy odbiorze, że jakość robót odbiega od wymaganej, w zakresie </w:t>
      </w:r>
      <w:r w:rsidR="00AA62AD" w:rsidRPr="00050108">
        <w:rPr>
          <w:rFonts w:ascii="Tahoma" w:eastAsia="Times New Roman" w:hAnsi="Tahoma" w:cs="Tahoma"/>
          <w:sz w:val="18"/>
          <w:szCs w:val="20"/>
          <w:lang w:eastAsia="pl-PL"/>
        </w:rPr>
        <w:t>niemającym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wpływu </w:t>
      </w:r>
      <w:r w:rsidR="00AA62AD">
        <w:rPr>
          <w:rFonts w:ascii="Tahoma" w:eastAsia="Times New Roman" w:hAnsi="Tahoma" w:cs="Tahoma"/>
          <w:sz w:val="18"/>
          <w:szCs w:val="20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na bezpieczeństwo ruchu oraz czytelność i trwałość oznakowania, zostaną zastosowane potrącenia od całkowitej wartości wykonanych robót, wg aktualnej instrukcji potrąceń obowiązującej u Zamawiającego.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ab/>
      </w:r>
    </w:p>
    <w:p w:rsidR="003C50A2" w:rsidRPr="00050108" w:rsidRDefault="003C50A2" w:rsidP="00050108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3C50A2" w:rsidP="003C50A2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20"/>
          <w:lang w:eastAsia="pl-PL"/>
        </w:rPr>
        <w:t>Zasady odbiorów: po potwierdzeniu protokołu. Należy każdorazowo wstawić się fizycznie ( bez względu na warunki atmosferyczne) w siedzibie Zamawiającego</w:t>
      </w:r>
      <w:r w:rsidRPr="003C50A2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20"/>
          <w:lang w:eastAsia="pl-PL"/>
        </w:rPr>
        <w:t xml:space="preserve">w celu realizacji robót. </w:t>
      </w:r>
    </w:p>
    <w:p w:rsidR="00050108" w:rsidRPr="00050108" w:rsidRDefault="00050108" w:rsidP="00050108">
      <w:pPr>
        <w:keepNext/>
        <w:widowControl w:val="0"/>
        <w:numPr>
          <w:ilvl w:val="12"/>
          <w:numId w:val="0"/>
        </w:numPr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8"/>
          <w:szCs w:val="20"/>
          <w:lang w:eastAsia="pl-PL"/>
        </w:rPr>
      </w:pPr>
    </w:p>
    <w:p w:rsidR="00050108" w:rsidRPr="00050108" w:rsidRDefault="00050108" w:rsidP="00050108">
      <w:pPr>
        <w:keepNext/>
        <w:widowControl w:val="0"/>
        <w:numPr>
          <w:ilvl w:val="12"/>
          <w:numId w:val="0"/>
        </w:numPr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bookmarkStart w:id="31" w:name="_Toc316558891"/>
      <w:r w:rsidRPr="0005010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9. PODSTAWA PŁATNOŚCI</w:t>
      </w:r>
      <w:bookmarkEnd w:id="31"/>
    </w:p>
    <w:p w:rsidR="00050108" w:rsidRPr="00050108" w:rsidRDefault="00050108" w:rsidP="00050108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             Cena </w:t>
      </w:r>
      <w:smartTag w:uri="urn:schemas-microsoft-com:office:smarttags" w:element="metricconverter">
        <w:smartTagPr>
          <w:attr w:name="ProductID" w:val="1 m2"/>
        </w:smartTagPr>
        <w:r w:rsidRPr="00050108">
          <w:rPr>
            <w:rFonts w:ascii="Tahoma" w:eastAsia="Times New Roman" w:hAnsi="Tahoma" w:cs="Tahoma"/>
            <w:sz w:val="18"/>
            <w:szCs w:val="20"/>
            <w:lang w:eastAsia="pl-PL"/>
          </w:rPr>
          <w:t>1 m</w:t>
        </w:r>
        <w:r w:rsidRPr="00050108">
          <w:rPr>
            <w:rFonts w:ascii="Tahoma" w:eastAsia="Times New Roman" w:hAnsi="Tahoma" w:cs="Tahoma"/>
            <w:sz w:val="18"/>
            <w:szCs w:val="20"/>
            <w:vertAlign w:val="superscript"/>
            <w:lang w:eastAsia="pl-PL"/>
          </w:rPr>
          <w:t>2</w:t>
        </w:r>
      </w:smartTag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wykonania znakowania poziomego obejmuje:</w:t>
      </w:r>
    </w:p>
    <w:p w:rsidR="00050108" w:rsidRPr="00050108" w:rsidRDefault="00050108" w:rsidP="0005010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prace pomiarowe, roboty przygotowawcze i oznakowanie robót,</w:t>
      </w:r>
    </w:p>
    <w:p w:rsidR="00050108" w:rsidRPr="00050108" w:rsidRDefault="00050108" w:rsidP="0005010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przygotowanie i dostarczenie materiałów,</w:t>
      </w:r>
    </w:p>
    <w:p w:rsidR="00050108" w:rsidRPr="00050108" w:rsidRDefault="00050108" w:rsidP="0005010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oczyszczenie podłoża (nawierzchni), </w:t>
      </w:r>
      <w:proofErr w:type="spellStart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przedznakowanie</w:t>
      </w:r>
      <w:proofErr w:type="spellEnd"/>
      <w:r w:rsidRPr="00050108">
        <w:rPr>
          <w:rFonts w:ascii="Tahoma" w:eastAsia="Times New Roman" w:hAnsi="Tahoma" w:cs="Tahoma"/>
          <w:sz w:val="18"/>
          <w:szCs w:val="20"/>
          <w:lang w:eastAsia="pl-PL"/>
        </w:rPr>
        <w:t>,</w:t>
      </w:r>
    </w:p>
    <w:p w:rsidR="00050108" w:rsidRPr="00050108" w:rsidRDefault="00050108" w:rsidP="0005010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naniesienie powłoki znaków na nawierzchnię drogi (</w:t>
      </w:r>
      <w:r w:rsidR="00A97E6B">
        <w:rPr>
          <w:rFonts w:ascii="Tahoma" w:eastAsia="Times New Roman" w:hAnsi="Tahoma" w:cs="Tahoma"/>
          <w:sz w:val="18"/>
          <w:szCs w:val="20"/>
          <w:lang w:eastAsia="pl-PL"/>
        </w:rPr>
        <w:t>wykonanie i odnowa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oznakowania),</w:t>
      </w:r>
    </w:p>
    <w:p w:rsidR="00050108" w:rsidRPr="00050108" w:rsidRDefault="00050108" w:rsidP="0005010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lastRenderedPageBreak/>
        <w:t>ochrona świeżo malowanych znaków przed zniszczeniem przez pojazdy w czasie prowadzenia robót,</w:t>
      </w:r>
    </w:p>
    <w:p w:rsidR="00050108" w:rsidRDefault="00050108" w:rsidP="00050108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przeprowadzenie pomiarów i badań laboratoryjnych.</w:t>
      </w:r>
    </w:p>
    <w:p w:rsidR="006164C0" w:rsidRDefault="006164C0" w:rsidP="006164C0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Cena 1 </w:t>
      </w:r>
      <w:r>
        <w:rPr>
          <w:rFonts w:ascii="Tahoma" w:eastAsia="Times New Roman" w:hAnsi="Tahoma" w:cs="Tahoma"/>
          <w:sz w:val="18"/>
          <w:szCs w:val="20"/>
          <w:lang w:eastAsia="pl-PL"/>
        </w:rPr>
        <w:t xml:space="preserve">szt. 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wykonania </w:t>
      </w:r>
      <w:r>
        <w:rPr>
          <w:rFonts w:ascii="Tahoma" w:eastAsia="Times New Roman" w:hAnsi="Tahoma" w:cs="Tahoma"/>
          <w:sz w:val="18"/>
          <w:szCs w:val="20"/>
          <w:lang w:eastAsia="pl-PL"/>
        </w:rPr>
        <w:t>punktowego elementu odblaskowego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 obejmuje:</w:t>
      </w:r>
    </w:p>
    <w:p w:rsidR="006164C0" w:rsidRDefault="006164C0" w:rsidP="006164C0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prace pomiarowe, roboty przygotowawcze i oznakowanie robót,</w:t>
      </w:r>
    </w:p>
    <w:p w:rsidR="006164C0" w:rsidRPr="00050108" w:rsidRDefault="006164C0" w:rsidP="006164C0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przygotowanie i dostarczenie materiałów,</w:t>
      </w:r>
    </w:p>
    <w:p w:rsidR="006164C0" w:rsidRDefault="006164C0" w:rsidP="006164C0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oczyszczenie podłoża (nawierzchni),</w:t>
      </w:r>
    </w:p>
    <w:p w:rsidR="00A97E6B" w:rsidRPr="00050108" w:rsidRDefault="0018503B" w:rsidP="006164C0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20"/>
          <w:lang w:eastAsia="pl-PL"/>
        </w:rPr>
        <w:t>montaż punktowych elementów odblaskowych,</w:t>
      </w:r>
    </w:p>
    <w:p w:rsidR="00A97E6B" w:rsidRPr="00050108" w:rsidRDefault="00A97E6B" w:rsidP="00A97E6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 xml:space="preserve">ochrona świeżo </w:t>
      </w:r>
      <w:r>
        <w:rPr>
          <w:rFonts w:ascii="Tahoma" w:eastAsia="Times New Roman" w:hAnsi="Tahoma" w:cs="Tahoma"/>
          <w:sz w:val="18"/>
          <w:szCs w:val="20"/>
          <w:lang w:eastAsia="pl-PL"/>
        </w:rPr>
        <w:t>wykonanych punktowych elementów odblaskowych przed z</w:t>
      </w: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niszczeniem przez pojazdy w czasie prowadzenia robót,</w:t>
      </w:r>
    </w:p>
    <w:p w:rsidR="00A97E6B" w:rsidRDefault="00A97E6B" w:rsidP="00A97E6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050108">
        <w:rPr>
          <w:rFonts w:ascii="Tahoma" w:eastAsia="Times New Roman" w:hAnsi="Tahoma" w:cs="Tahoma"/>
          <w:sz w:val="18"/>
          <w:szCs w:val="20"/>
          <w:lang w:eastAsia="pl-PL"/>
        </w:rPr>
        <w:t>przeprowadzenie pomiarów i badań laboratoryjnych.</w:t>
      </w:r>
    </w:p>
    <w:p w:rsidR="006164C0" w:rsidRPr="00050108" w:rsidRDefault="006164C0" w:rsidP="006164C0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050108" w:rsidRPr="00050108" w:rsidRDefault="00050108" w:rsidP="00050108">
      <w:pPr>
        <w:keepNext/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8"/>
          <w:szCs w:val="20"/>
          <w:lang w:eastAsia="pl-PL"/>
        </w:rPr>
      </w:pPr>
    </w:p>
    <w:p w:rsidR="00050108" w:rsidRPr="00050108" w:rsidRDefault="00050108" w:rsidP="00050108">
      <w:pPr>
        <w:keepNext/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bookmarkStart w:id="32" w:name="_Toc316558892"/>
      <w:r w:rsidRPr="00050108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10. PRZEPISY ZWIĄZANE</w:t>
      </w:r>
      <w:bookmarkEnd w:id="32"/>
    </w:p>
    <w:p w:rsidR="00050108" w:rsidRPr="00050108" w:rsidRDefault="00050108" w:rsidP="00050108">
      <w:pPr>
        <w:keepNext/>
        <w:spacing w:before="120" w:after="60" w:line="240" w:lineRule="auto"/>
        <w:outlineLvl w:val="1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10.1. Normy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93"/>
        <w:gridCol w:w="1842"/>
        <w:gridCol w:w="7333"/>
      </w:tblGrid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2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PN-89/C-81400</w:t>
            </w: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Wyroby lakierowe. Pakowanie, przechowywanie i transport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2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PN-85/O-79252</w:t>
            </w: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Opakowania transportowe z zawartością. Znaki i znakowanie. Wymagania podstawowe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3.</w:t>
            </w:r>
          </w:p>
        </w:tc>
        <w:tc>
          <w:tcPr>
            <w:tcW w:w="1842" w:type="dxa"/>
          </w:tcPr>
          <w:p w:rsidR="00050108" w:rsidRPr="00050108" w:rsidRDefault="00050108" w:rsidP="0005010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PN-EN 1423:2000,</w:t>
            </w:r>
          </w:p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Materiały do poziomego oznakowania dróg Materiały do posypywania. Kulki szklane, kruszywo przeciwpoślizgowe i ich mieszaniny)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3a.</w:t>
            </w:r>
          </w:p>
        </w:tc>
        <w:tc>
          <w:tcPr>
            <w:tcW w:w="1842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PN-EN 1423:2001/A1:2005</w:t>
            </w: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Materiały do poziomego oznakowania dróg Materiały do posypywania. Kulki szklane, kruszywo przeciwpoślizgowe i ich mieszaniny (Zmiana A1)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4.</w:t>
            </w:r>
          </w:p>
        </w:tc>
        <w:tc>
          <w:tcPr>
            <w:tcW w:w="1842" w:type="dxa"/>
          </w:tcPr>
          <w:p w:rsidR="00050108" w:rsidRPr="00050108" w:rsidRDefault="00050108" w:rsidP="000501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PN-EN 1436:2000,</w:t>
            </w:r>
          </w:p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Materiały do poziomego oznakowania dróg. Wymagania dotyczące poziomego oznakowania dróg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4a.</w:t>
            </w:r>
          </w:p>
        </w:tc>
        <w:tc>
          <w:tcPr>
            <w:tcW w:w="1842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PN-EN 1436:2000/A1:2005</w:t>
            </w: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Materiały do poziomego oznakowania dróg. Wymagania dotyczące poziomego oznakowania dróg (Zmiana A1)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5.</w:t>
            </w:r>
          </w:p>
        </w:tc>
        <w:tc>
          <w:tcPr>
            <w:tcW w:w="1842" w:type="dxa"/>
          </w:tcPr>
          <w:p w:rsidR="00050108" w:rsidRPr="00050108" w:rsidRDefault="00050108" w:rsidP="0005010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PN-EN 1463-1:2000</w:t>
            </w:r>
          </w:p>
          <w:p w:rsidR="00050108" w:rsidRPr="00050108" w:rsidRDefault="00050108" w:rsidP="0005010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Materiały do poziomego oznakowania dróg. Punktowe elementy odblaskowe Część 1: Wymagania dotyczące charakterystyki nowego elementu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5a.</w:t>
            </w:r>
          </w:p>
        </w:tc>
        <w:tc>
          <w:tcPr>
            <w:tcW w:w="1842" w:type="dxa"/>
            <w:hideMark/>
          </w:tcPr>
          <w:p w:rsidR="00050108" w:rsidRPr="00050108" w:rsidRDefault="00050108" w:rsidP="0005010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PN-EN 1463-1:2000/A1:2005</w:t>
            </w: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Materiały do poziomego oznakowania dróg. Punktowe elementy odblaskowe Część 1: Wymagania dotyczące charakterystyki nowego elementu (Zmiana A1)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5b.</w:t>
            </w:r>
          </w:p>
        </w:tc>
        <w:tc>
          <w:tcPr>
            <w:tcW w:w="1842" w:type="dxa"/>
            <w:hideMark/>
          </w:tcPr>
          <w:p w:rsidR="00050108" w:rsidRPr="00050108" w:rsidRDefault="00050108" w:rsidP="0005010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PN-EN 1463-2:2000</w:t>
            </w: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Materiały do poziomego oznakowania dróg. Punktowe elementy odblaskowe Część 2: Badania terenowe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42" w:type="dxa"/>
            <w:hideMark/>
          </w:tcPr>
          <w:p w:rsidR="00050108" w:rsidRPr="00050108" w:rsidRDefault="00050108" w:rsidP="0005010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PN-EN 1871:2003</w:t>
            </w: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Materiały do poziomego oznakowania dróg. Właściwości fizyczne</w:t>
            </w:r>
          </w:p>
        </w:tc>
      </w:tr>
      <w:tr w:rsidR="00050108" w:rsidRPr="00050108" w:rsidTr="002F1C65">
        <w:tc>
          <w:tcPr>
            <w:tcW w:w="39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6a.</w:t>
            </w:r>
          </w:p>
        </w:tc>
        <w:tc>
          <w:tcPr>
            <w:tcW w:w="1842" w:type="dxa"/>
            <w:hideMark/>
          </w:tcPr>
          <w:p w:rsidR="00050108" w:rsidRPr="00050108" w:rsidRDefault="00050108" w:rsidP="0005010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val="de-DE" w:eastAsia="pl-PL"/>
              </w:rPr>
              <w:t>PN-EN 13036-4: 2004(U)</w:t>
            </w:r>
          </w:p>
        </w:tc>
        <w:tc>
          <w:tcPr>
            <w:tcW w:w="7333" w:type="dxa"/>
            <w:hideMark/>
          </w:tcPr>
          <w:p w:rsidR="00050108" w:rsidRPr="00050108" w:rsidRDefault="00050108" w:rsidP="00050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501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Drogi samochodowe i lotniskowe – Metody badań – Część 4: Metoda pomiaru oporów poślizgu/poślizgnięcia na powierzchni: próba wahadła</w:t>
            </w:r>
          </w:p>
        </w:tc>
      </w:tr>
    </w:tbl>
    <w:p w:rsidR="00050108" w:rsidRPr="00050108" w:rsidRDefault="00050108" w:rsidP="00050108">
      <w:pPr>
        <w:keepNext/>
        <w:spacing w:before="120" w:after="60" w:line="240" w:lineRule="auto"/>
        <w:outlineLvl w:val="1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b/>
          <w:bCs/>
          <w:iCs/>
          <w:sz w:val="18"/>
          <w:szCs w:val="18"/>
          <w:lang w:val="de-DE" w:eastAsia="pl-PL"/>
        </w:rPr>
        <w:t xml:space="preserve">10.2. </w:t>
      </w:r>
      <w:r w:rsidRPr="00050108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Przepisy związane i inne dokumenty</w:t>
      </w:r>
    </w:p>
    <w:p w:rsidR="00050108" w:rsidRPr="00050108" w:rsidRDefault="00050108" w:rsidP="00AA6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2 do rozporządzenia Ministra Infrastruktury z dnia 3 lipca 2003 r. Szczegółowe warunki techniczne </w:t>
      </w:r>
      <w:r w:rsidR="00AA62A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18"/>
          <w:lang w:eastAsia="pl-PL"/>
        </w:rPr>
        <w:t>dla znaków drogowych poziomych i warunki ich umieszczania na drogach (Dz. U. nr 220, poz. 2181)</w:t>
      </w:r>
    </w:p>
    <w:p w:rsidR="00050108" w:rsidRPr="00050108" w:rsidRDefault="00050108" w:rsidP="00AA6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sz w:val="18"/>
          <w:szCs w:val="18"/>
          <w:lang w:eastAsia="pl-PL"/>
        </w:rPr>
        <w:t>Rozporządzenie  Ministra  Infrastruktury   z  dnia  11 sierpnia 2004 r.  w  sprawie  sposobów deklarowania zgodności wyrobów budowlanych oraz sposobu znakowania ich  znakiem budowlanym (Dz. U. nr 198, poz. 2041)</w:t>
      </w:r>
    </w:p>
    <w:p w:rsidR="00050108" w:rsidRPr="00050108" w:rsidRDefault="00050108" w:rsidP="00AA6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sz w:val="18"/>
          <w:szCs w:val="18"/>
          <w:lang w:eastAsia="pl-PL"/>
        </w:rPr>
        <w:t xml:space="preserve">Warunki Techniczne. Poziome znakowanie dróg. POD-97. Seria „I” - Informacje, Instrukcje. Zeszyt nr 55. </w:t>
      </w:r>
      <w:proofErr w:type="spellStart"/>
      <w:r w:rsidRPr="00050108">
        <w:rPr>
          <w:rFonts w:ascii="Tahoma" w:eastAsia="Times New Roman" w:hAnsi="Tahoma" w:cs="Tahoma"/>
          <w:sz w:val="18"/>
          <w:szCs w:val="18"/>
          <w:lang w:eastAsia="pl-PL"/>
        </w:rPr>
        <w:t>IBDiM</w:t>
      </w:r>
      <w:proofErr w:type="spellEnd"/>
      <w:r w:rsidRPr="00050108">
        <w:rPr>
          <w:rFonts w:ascii="Tahoma" w:eastAsia="Times New Roman" w:hAnsi="Tahoma" w:cs="Tahoma"/>
          <w:sz w:val="18"/>
          <w:szCs w:val="18"/>
          <w:lang w:eastAsia="pl-PL"/>
        </w:rPr>
        <w:t>, Warszawa, 1997</w:t>
      </w:r>
    </w:p>
    <w:p w:rsidR="00050108" w:rsidRPr="00050108" w:rsidRDefault="00050108" w:rsidP="00AA6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sz w:val="18"/>
          <w:szCs w:val="18"/>
          <w:lang w:eastAsia="pl-PL"/>
        </w:rPr>
        <w:t xml:space="preserve">Warunki Techniczne. Poziome znakowanie dróg. POD-2006. Seria „I” - Informacje, Instrukcje. </w:t>
      </w:r>
      <w:proofErr w:type="spellStart"/>
      <w:r w:rsidRPr="00050108">
        <w:rPr>
          <w:rFonts w:ascii="Tahoma" w:eastAsia="Times New Roman" w:hAnsi="Tahoma" w:cs="Tahoma"/>
          <w:sz w:val="18"/>
          <w:szCs w:val="18"/>
          <w:lang w:eastAsia="pl-PL"/>
        </w:rPr>
        <w:t>IBDiM</w:t>
      </w:r>
      <w:proofErr w:type="spellEnd"/>
      <w:r w:rsidRPr="00050108">
        <w:rPr>
          <w:rFonts w:ascii="Tahoma" w:eastAsia="Times New Roman" w:hAnsi="Tahoma" w:cs="Tahoma"/>
          <w:sz w:val="18"/>
          <w:szCs w:val="18"/>
          <w:lang w:eastAsia="pl-PL"/>
        </w:rPr>
        <w:t xml:space="preserve">, Warszawa, </w:t>
      </w:r>
      <w:r w:rsidR="00AA62A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50108">
        <w:rPr>
          <w:rFonts w:ascii="Tahoma" w:eastAsia="Times New Roman" w:hAnsi="Tahoma" w:cs="Tahoma"/>
          <w:sz w:val="18"/>
          <w:szCs w:val="18"/>
          <w:lang w:eastAsia="pl-PL"/>
        </w:rPr>
        <w:t>w opracowaniu</w:t>
      </w:r>
    </w:p>
    <w:p w:rsidR="00050108" w:rsidRPr="00050108" w:rsidRDefault="00050108" w:rsidP="00AA6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sz w:val="18"/>
          <w:szCs w:val="18"/>
          <w:lang w:eastAsia="pl-PL"/>
        </w:rPr>
        <w:t>Prawo przewozowe (Dz. U. nr 53 z 1984 r., poz. 272 z późniejszymi zmianami)</w:t>
      </w:r>
    </w:p>
    <w:p w:rsidR="00050108" w:rsidRPr="00050108" w:rsidRDefault="00050108" w:rsidP="00AA6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sz w:val="18"/>
          <w:szCs w:val="18"/>
          <w:lang w:eastAsia="pl-PL"/>
        </w:rPr>
        <w:t xml:space="preserve">Rozporządzenie Ministra Infrastruktury z dnia 11 sierpnia 2004 r.  w  sprawie  systemów oceny zgodności, </w:t>
      </w:r>
      <w:r w:rsidR="00AA62AD" w:rsidRPr="00050108">
        <w:rPr>
          <w:rFonts w:ascii="Tahoma" w:eastAsia="Times New Roman" w:hAnsi="Tahoma" w:cs="Tahoma"/>
          <w:sz w:val="18"/>
          <w:szCs w:val="18"/>
          <w:lang w:eastAsia="pl-PL"/>
        </w:rPr>
        <w:t>wymagań, jakie</w:t>
      </w:r>
      <w:r w:rsidRPr="00050108">
        <w:rPr>
          <w:rFonts w:ascii="Tahoma" w:eastAsia="Times New Roman" w:hAnsi="Tahoma" w:cs="Tahoma"/>
          <w:sz w:val="18"/>
          <w:szCs w:val="18"/>
          <w:lang w:eastAsia="pl-PL"/>
        </w:rPr>
        <w:t xml:space="preserve"> powinny spełniać notyfikowane jednostki uczestniczące w ocenie zgodności oraz sposobu oznaczania wyrobów budowlanych oznakowaniem CE (Dz. U. nr 195, poz. 2011)</w:t>
      </w:r>
    </w:p>
    <w:p w:rsidR="00050108" w:rsidRPr="00050108" w:rsidRDefault="00050108" w:rsidP="00AA6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sz w:val="18"/>
          <w:szCs w:val="18"/>
          <w:lang w:eastAsia="pl-PL"/>
        </w:rPr>
        <w:t>Rozporządzenie Ministra Zdrowia z dnia 2 września 2003 r. w sprawie oznakowania opakowań substancji niebezpiecznych i preparatów niebezpiecznych (Dz. U. nr 73, poz. 1679)</w:t>
      </w:r>
    </w:p>
    <w:p w:rsidR="00050108" w:rsidRPr="00050108" w:rsidRDefault="00050108" w:rsidP="00AA6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sz w:val="18"/>
          <w:szCs w:val="18"/>
          <w:lang w:eastAsia="pl-PL"/>
        </w:rPr>
        <w:t>Umowa europejska dotycząca międzynarodowego przewozu towarów niebezpiecznych (RID/ADR)</w:t>
      </w:r>
    </w:p>
    <w:p w:rsidR="00050108" w:rsidRPr="00050108" w:rsidRDefault="00050108" w:rsidP="00AA6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0108">
        <w:rPr>
          <w:rFonts w:ascii="Tahoma" w:eastAsia="Times New Roman" w:hAnsi="Tahoma" w:cs="Tahoma"/>
          <w:sz w:val="18"/>
          <w:szCs w:val="18"/>
          <w:lang w:eastAsia="pl-PL"/>
        </w:rPr>
        <w:t>Rozporządzenie Ministra Infrastruktury z dnia 8 listopada 2004 r. w sprawie aprobat technicznych oraz jednostek organizacyjnych uprawnionych do ich wydania (Dz. U. nr 249, poz. 2497).</w:t>
      </w:r>
    </w:p>
    <w:p w:rsidR="00050108" w:rsidRPr="00050108" w:rsidRDefault="00050108" w:rsidP="000501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00F09" w:rsidRDefault="00170348"/>
    <w:sectPr w:rsidR="00800F09" w:rsidSect="00B34627">
      <w:footerReference w:type="even" r:id="rId7"/>
      <w:footerReference w:type="default" r:id="rId8"/>
      <w:pgSz w:w="11909" w:h="16834" w:code="9"/>
      <w:pgMar w:top="1021" w:right="1134" w:bottom="907" w:left="1134" w:header="680" w:footer="709" w:gutter="0"/>
      <w:pgNumType w:start="12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49" w:rsidRDefault="00FD1249">
      <w:pPr>
        <w:spacing w:after="0" w:line="240" w:lineRule="auto"/>
      </w:pPr>
      <w:r>
        <w:separator/>
      </w:r>
    </w:p>
  </w:endnote>
  <w:endnote w:type="continuationSeparator" w:id="0">
    <w:p w:rsidR="00FD1249" w:rsidRDefault="00F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0C" w:rsidRDefault="00D03D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1A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400C" w:rsidRDefault="00170348">
    <w:pPr>
      <w:pStyle w:val="Stopka"/>
      <w:ind w:right="360"/>
    </w:pPr>
  </w:p>
  <w:p w:rsidR="0063400C" w:rsidRDefault="00170348"/>
  <w:p w:rsidR="0063400C" w:rsidRDefault="00170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76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627" w:rsidRDefault="00D03D9A">
        <w:pPr>
          <w:pStyle w:val="Stopka"/>
          <w:jc w:val="right"/>
        </w:pPr>
        <w:r>
          <w:fldChar w:fldCharType="begin"/>
        </w:r>
        <w:r w:rsidR="00B34627">
          <w:instrText xml:space="preserve"> PAGE   \* MERGEFORMAT </w:instrText>
        </w:r>
        <w:r>
          <w:fldChar w:fldCharType="separate"/>
        </w:r>
        <w:r w:rsidR="0017034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3400C" w:rsidRDefault="00170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49" w:rsidRDefault="00FD1249">
      <w:pPr>
        <w:spacing w:after="0" w:line="240" w:lineRule="auto"/>
      </w:pPr>
      <w:r>
        <w:separator/>
      </w:r>
    </w:p>
  </w:footnote>
  <w:footnote w:type="continuationSeparator" w:id="0">
    <w:p w:rsidR="00FD1249" w:rsidRDefault="00FD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10C52A8"/>
    <w:multiLevelType w:val="singleLevel"/>
    <w:tmpl w:val="88521BC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66D76EF"/>
    <w:multiLevelType w:val="hybridMultilevel"/>
    <w:tmpl w:val="E5047AF0"/>
    <w:lvl w:ilvl="0" w:tplc="CE7CE422">
      <w:start w:val="7"/>
      <w:numFmt w:val="decimal"/>
      <w:lvlText w:val="%1."/>
      <w:lvlJc w:val="right"/>
      <w:pPr>
        <w:tabs>
          <w:tab w:val="num" w:pos="1021"/>
        </w:tabs>
        <w:ind w:left="1021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0108"/>
    <w:rsid w:val="000109CE"/>
    <w:rsid w:val="00022EB3"/>
    <w:rsid w:val="00050108"/>
    <w:rsid w:val="00073B40"/>
    <w:rsid w:val="000A08D8"/>
    <w:rsid w:val="000B3022"/>
    <w:rsid w:val="000D00A7"/>
    <w:rsid w:val="000D49AF"/>
    <w:rsid w:val="000D5DAA"/>
    <w:rsid w:val="00144B56"/>
    <w:rsid w:val="00155C8C"/>
    <w:rsid w:val="001645A0"/>
    <w:rsid w:val="00170348"/>
    <w:rsid w:val="0018503B"/>
    <w:rsid w:val="00186565"/>
    <w:rsid w:val="001A1A61"/>
    <w:rsid w:val="00202DD5"/>
    <w:rsid w:val="002466C1"/>
    <w:rsid w:val="002867F2"/>
    <w:rsid w:val="002B4F95"/>
    <w:rsid w:val="002D3EDE"/>
    <w:rsid w:val="00370F30"/>
    <w:rsid w:val="00371FB0"/>
    <w:rsid w:val="003C2C3D"/>
    <w:rsid w:val="003C50A2"/>
    <w:rsid w:val="004546AD"/>
    <w:rsid w:val="00506BA8"/>
    <w:rsid w:val="00523C32"/>
    <w:rsid w:val="005317B3"/>
    <w:rsid w:val="005D39E6"/>
    <w:rsid w:val="006164C0"/>
    <w:rsid w:val="00641971"/>
    <w:rsid w:val="006C6F8B"/>
    <w:rsid w:val="00811259"/>
    <w:rsid w:val="008C6CCE"/>
    <w:rsid w:val="00931992"/>
    <w:rsid w:val="00931C10"/>
    <w:rsid w:val="00936BC1"/>
    <w:rsid w:val="00991B4D"/>
    <w:rsid w:val="009D1D52"/>
    <w:rsid w:val="009E48AC"/>
    <w:rsid w:val="00A03337"/>
    <w:rsid w:val="00A211CA"/>
    <w:rsid w:val="00A43FD5"/>
    <w:rsid w:val="00A6112F"/>
    <w:rsid w:val="00A97E6B"/>
    <w:rsid w:val="00AA62AD"/>
    <w:rsid w:val="00AE7AAC"/>
    <w:rsid w:val="00AF4B3D"/>
    <w:rsid w:val="00B252E8"/>
    <w:rsid w:val="00B3158F"/>
    <w:rsid w:val="00B34627"/>
    <w:rsid w:val="00BB2AB2"/>
    <w:rsid w:val="00BE272C"/>
    <w:rsid w:val="00BE6199"/>
    <w:rsid w:val="00BF08DE"/>
    <w:rsid w:val="00C11745"/>
    <w:rsid w:val="00C774FE"/>
    <w:rsid w:val="00C85A71"/>
    <w:rsid w:val="00CA4CF7"/>
    <w:rsid w:val="00D03D9A"/>
    <w:rsid w:val="00D40A12"/>
    <w:rsid w:val="00D53A0C"/>
    <w:rsid w:val="00D565BB"/>
    <w:rsid w:val="00DA79A4"/>
    <w:rsid w:val="00DB4810"/>
    <w:rsid w:val="00DB5DD7"/>
    <w:rsid w:val="00DE33BB"/>
    <w:rsid w:val="00E03DA9"/>
    <w:rsid w:val="00E761CD"/>
    <w:rsid w:val="00EF58A9"/>
    <w:rsid w:val="00F05AED"/>
    <w:rsid w:val="00F16BE5"/>
    <w:rsid w:val="00F51C93"/>
    <w:rsid w:val="00F56215"/>
    <w:rsid w:val="00FD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50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01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50108"/>
  </w:style>
  <w:style w:type="character" w:styleId="Odwoaniedokomentarza">
    <w:name w:val="annotation reference"/>
    <w:semiHidden/>
    <w:rsid w:val="000501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01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1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58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5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B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B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3252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Przemek</cp:lastModifiedBy>
  <cp:revision>18</cp:revision>
  <cp:lastPrinted>2012-03-30T09:44:00Z</cp:lastPrinted>
  <dcterms:created xsi:type="dcterms:W3CDTF">2014-01-22T11:19:00Z</dcterms:created>
  <dcterms:modified xsi:type="dcterms:W3CDTF">2022-04-26T10:41:00Z</dcterms:modified>
</cp:coreProperties>
</file>