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BB70" w14:textId="77777777" w:rsidR="006250FA" w:rsidRPr="003F7C1D" w:rsidRDefault="006250FA" w:rsidP="006250FA">
      <w:pPr>
        <w:widowControl w:val="0"/>
        <w:spacing w:after="0"/>
        <w:jc w:val="both"/>
        <w:rPr>
          <w:rFonts w:ascii="Arial" w:eastAsia="Arial" w:hAnsi="Arial" w:cs="Arial"/>
          <w:iCs/>
          <w:sz w:val="20"/>
          <w:szCs w:val="20"/>
        </w:rPr>
      </w:pPr>
    </w:p>
    <w:p w14:paraId="66949D83" w14:textId="5943F27A" w:rsidR="006250FA" w:rsidRPr="00B479CC" w:rsidRDefault="00AF0655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Załącznik nr 5</w:t>
      </w:r>
      <w:r w:rsidR="006250FA" w:rsidRPr="003F7C1D">
        <w:rPr>
          <w:rFonts w:ascii="Arial" w:eastAsia="Arial" w:hAnsi="Arial" w:cs="Arial"/>
          <w:iCs/>
          <w:sz w:val="20"/>
          <w:szCs w:val="20"/>
        </w:rPr>
        <w:t xml:space="preserve"> do</w:t>
      </w:r>
      <w:r>
        <w:rPr>
          <w:rFonts w:ascii="Arial" w:eastAsia="Arial" w:hAnsi="Arial" w:cs="Arial"/>
          <w:iCs/>
          <w:sz w:val="20"/>
          <w:szCs w:val="20"/>
        </w:rPr>
        <w:t xml:space="preserve"> SWZ</w:t>
      </w:r>
    </w:p>
    <w:p w14:paraId="6E6BA518" w14:textId="77777777" w:rsidR="006250FA" w:rsidRPr="000B2E28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b/>
          <w:iCs/>
          <w:sz w:val="20"/>
          <w:szCs w:val="20"/>
        </w:rPr>
      </w:pPr>
    </w:p>
    <w:p w14:paraId="32A9893F" w14:textId="77777777" w:rsidR="006250FA" w:rsidRPr="000B2E28" w:rsidRDefault="006250FA" w:rsidP="006250FA">
      <w:pPr>
        <w:widowControl w:val="0"/>
        <w:spacing w:after="0"/>
        <w:ind w:left="426"/>
        <w:jc w:val="center"/>
        <w:rPr>
          <w:rFonts w:ascii="Arial" w:eastAsia="Arial" w:hAnsi="Arial" w:cs="Arial"/>
          <w:b/>
          <w:iCs/>
          <w:sz w:val="20"/>
          <w:szCs w:val="20"/>
        </w:rPr>
      </w:pPr>
      <w:r w:rsidRPr="000B2E28">
        <w:rPr>
          <w:rFonts w:ascii="Arial" w:eastAsia="Arial" w:hAnsi="Arial" w:cs="Arial"/>
          <w:b/>
          <w:iCs/>
          <w:sz w:val="20"/>
          <w:szCs w:val="20"/>
        </w:rPr>
        <w:t>Klauzula informacyjna art. 13 RODO</w:t>
      </w:r>
    </w:p>
    <w:p w14:paraId="2D0315B9" w14:textId="77777777" w:rsidR="006250FA" w:rsidRPr="003F7C1D" w:rsidRDefault="006250FA" w:rsidP="006250FA">
      <w:pPr>
        <w:widowControl w:val="0"/>
        <w:spacing w:after="0"/>
        <w:jc w:val="both"/>
        <w:rPr>
          <w:rFonts w:ascii="Arial" w:eastAsia="Arial" w:hAnsi="Arial" w:cs="Arial"/>
          <w:iCs/>
          <w:sz w:val="20"/>
          <w:szCs w:val="20"/>
        </w:rPr>
      </w:pPr>
    </w:p>
    <w:p w14:paraId="6A6519E5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439F4F2B" w14:textId="77777777" w:rsidR="006250FA" w:rsidRPr="003F7C1D" w:rsidRDefault="006250FA" w:rsidP="006250FA">
      <w:pPr>
        <w:widowControl w:val="0"/>
        <w:spacing w:after="0"/>
        <w:ind w:left="426"/>
        <w:jc w:val="center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Zasady przetwarzania danych osobowych w Programie Polska Cyfrowa 2014-2020 (POPC 2014-2020)</w:t>
      </w:r>
    </w:p>
    <w:p w14:paraId="51ACEA74" w14:textId="77777777" w:rsidR="006250FA" w:rsidRPr="003F7C1D" w:rsidRDefault="006250FA" w:rsidP="006250FA">
      <w:pPr>
        <w:widowControl w:val="0"/>
        <w:spacing w:after="0"/>
        <w:ind w:left="426"/>
        <w:jc w:val="center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Klauzula informacyjna – Program Polska Cyfrowa 2014-2020 (POPC 2014-2020)</w:t>
      </w:r>
    </w:p>
    <w:p w14:paraId="71AB491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</w:p>
    <w:p w14:paraId="531F04B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(Dz. Urz. UE L 119 z 4.05.2016, s. 1); - dalej: „RODO” informuję, że:</w:t>
      </w:r>
    </w:p>
    <w:p w14:paraId="6804BDEA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18F6A742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Administrator danych osobowych:</w:t>
      </w:r>
    </w:p>
    <w:p w14:paraId="497B3C02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Ze względu na to, że to Minister Funduszy i Polityki Regionalnej - jako Instytucja Zarządzająca POPC 2014-2020 - określa: jakie dane osobowe, w jaki sposób i w jakim celu będą przetwarzane w związku z realizacją Programu, pełni on rolę administratora danych osobowych przetwarzanych w związku z realizacją POPC 2014-2020 w rozumieniu RODO  ;</w:t>
      </w:r>
    </w:p>
    <w:p w14:paraId="17B9F8F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548FCB5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Przy czym Minister Funduszy i Polityki Regionalnej jest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2B79366E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6429E1AA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Minister Funduszy i Polityki Regionalnej jest także administratorem danych osobowych, które przetwarza jako beneficjent projektów współfinansowanych ze środków POPC 2014-2020.</w:t>
      </w:r>
    </w:p>
    <w:p w14:paraId="35C3307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1C26384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Minister Funduszy i Polityki Regionalnej jest również administratorem danych zgromadzonych w zarządzanym przez niego Centralnym Systemie Teleinformatycznym wspierającym realizację POPC 2014-2020.</w:t>
      </w:r>
    </w:p>
    <w:p w14:paraId="014A558A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 xml:space="preserve">Cel przetwarzania danych osobowych: </w:t>
      </w:r>
    </w:p>
    <w:p w14:paraId="1BC03CC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Minister Funduszy i Polityki Regionalnej przetwarza dane osobowe w celu realizacji zadań przypisanych Instytucji Zarządzającej POPC 2014-2020, w zakresie w jakim jest to niezbędne dla realizacji tego celu. Minister Funduszy i Polityki Regionalnej przetwarza dane osobowe w szczególności w celach:</w:t>
      </w:r>
    </w:p>
    <w:p w14:paraId="38E7F66F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udzielania wsparcia beneficjentom ubiegającym się o dofinansowanie i realizującym projekty,</w:t>
      </w:r>
    </w:p>
    <w:p w14:paraId="35E5CD6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potwierdzania kwalifikowalności wydatków,</w:t>
      </w:r>
    </w:p>
    <w:p w14:paraId="4C05350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3.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wnioskowania o płatności do Komisji Europejskiej,</w:t>
      </w:r>
    </w:p>
    <w:p w14:paraId="7ECFC36D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4.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raportowania o nieprawidłowościach,</w:t>
      </w:r>
    </w:p>
    <w:p w14:paraId="038918CC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5.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ewaluacji,</w:t>
      </w:r>
    </w:p>
    <w:p w14:paraId="3D8908AD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6.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monitoringu,</w:t>
      </w:r>
    </w:p>
    <w:p w14:paraId="4D1EA206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7.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kontroli,</w:t>
      </w:r>
    </w:p>
    <w:p w14:paraId="2B3A9D78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8.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audytu,</w:t>
      </w:r>
    </w:p>
    <w:p w14:paraId="02B7BD8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9.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sprawozdawczości oraz</w:t>
      </w:r>
    </w:p>
    <w:p w14:paraId="5DEF32C5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10.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działań informacyjno-promocyjnych.</w:t>
      </w:r>
    </w:p>
    <w:p w14:paraId="3C7B8F07" w14:textId="77777777" w:rsidR="006250FA" w:rsidRPr="003F7C1D" w:rsidRDefault="006250FA" w:rsidP="006250FA">
      <w:pPr>
        <w:widowControl w:val="0"/>
        <w:spacing w:after="0"/>
        <w:jc w:val="both"/>
        <w:rPr>
          <w:rFonts w:ascii="Arial" w:eastAsia="Arial" w:hAnsi="Arial" w:cs="Arial"/>
          <w:iCs/>
          <w:sz w:val="20"/>
          <w:szCs w:val="20"/>
        </w:rPr>
      </w:pPr>
    </w:p>
    <w:p w14:paraId="6B2AD9C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3)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Podstawy prawne przetwarzania:</w:t>
      </w:r>
    </w:p>
    <w:p w14:paraId="65F0B5A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 xml:space="preserve">Przetwarzanie danych osobowych w związku z realizacją POPC 2014-2020 odbywa się zgodnie z </w:t>
      </w:r>
      <w:r w:rsidRPr="003F7C1D">
        <w:rPr>
          <w:rFonts w:ascii="Arial" w:eastAsia="Arial" w:hAnsi="Arial" w:cs="Arial"/>
          <w:iCs/>
          <w:sz w:val="20"/>
          <w:szCs w:val="20"/>
        </w:rPr>
        <w:lastRenderedPageBreak/>
        <w:t>RODO. Podstawą prawną przetwarzania danych jest konieczność realizacji obowiązków spoczywających na Ministrze Funduszy i Polityki Regionalnej - jako na Instytucji Zarządzającej - na podstawie przepisów prawa europejskiego i krajowego (art. 6 ust. 1 lit. c RODO).</w:t>
      </w:r>
    </w:p>
    <w:p w14:paraId="5E74A659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3C1E7B66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7870D47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1B92CB78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9947AF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</w:p>
    <w:p w14:paraId="003DE3F9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615F6833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Podstawą przetwarzania danych osobowych przez Ministra są również:</w:t>
      </w:r>
    </w:p>
    <w:p w14:paraId="242D54D5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konieczność realizacji umowy, której stroną jest osoba, której dane dotyczą (art. 6 ust. 1 lit. b RODO) - podstawa ta ma zastosowanie m. in.  do danych osobowych osób prowadzących samodzielną działalność gospodarczą, z którymi Minister zawarł umowy w celu realizacji POPC 2014-2020,</w:t>
      </w:r>
    </w:p>
    <w:p w14:paraId="7A1C2B3E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wykonywanie zadań realizowanych w interesie publicznym lub w ramach sprawowania władzy publicznej powierzonej Ministrowi (art. 6 ust. 1 lit e RODO) - podstawa ta ma zastosowanie m. in. do organizowanych przez Ministra konkursów i akcji promocyjnych dotyczących Programu,</w:t>
      </w:r>
    </w:p>
    <w:p w14:paraId="25B3EEBF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3.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uzasadniony interes prawny Ministra Funduszy i Polityki Regionalnej (art. 6 ust. 1 lit f RODO) – podstawa ta ma zastosowanie m.in. do danych osobowych przetwarzanych w związku z realizacją umów w ramach Funduszy Europejskich.</w:t>
      </w:r>
    </w:p>
    <w:p w14:paraId="02DAEDB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23DED855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W ramach POPC 2014-2020 w działaniu 3.1 - Działania szkoleniowe na rzecz rozwoju kompetencji cyfrowych przetwarzane są dane szczególnej kategorii (dane o niepełnosprawności). Podstawą prawną ich przetwarzania jest wyraźna zgoda osoby, której dane dotyczą (art. 9 ust. 2 lit a RODO).</w:t>
      </w:r>
    </w:p>
    <w:p w14:paraId="371DED9A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12310AAF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4)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Rodzaje przetwarzanych danych:</w:t>
      </w:r>
    </w:p>
    <w:p w14:paraId="7E7397F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Minister Funduszy i Polityki Regionalnej w celu realizacji POPC 2014-2020 przetwarza dane osobowe m. in.:</w:t>
      </w:r>
    </w:p>
    <w:p w14:paraId="3399C80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pracowników, wolontariuszy, praktykantów i stażystów reprezentujących lub wykonujących zadania na rzecz podmiotów zaangażowanych w obsługę i realizację POPC 2014-2020,</w:t>
      </w:r>
    </w:p>
    <w:p w14:paraId="2D9AB025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osób wskazanych do kontaktu, osób upoważnionych do podejmowania wiążących decyzji oraz innych osób wykonujących zadania na rzecz wnioskodawców, beneficjentów i partnerów,</w:t>
      </w:r>
    </w:p>
    <w:p w14:paraId="226456D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3.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uczestników szkoleń, konkursów, konferencji, komitetów monitorujących, grup roboczych, grup sterujących oraz spotkań informacyjnych lub promocyjnych organizowanych w ramach POPC 2014-2020,</w:t>
      </w:r>
    </w:p>
    <w:p w14:paraId="7E64DA1C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4.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kandydatów na ekspertów oraz ekspertów zaangażowanych w proces wyboru projektów do dofinansowania lub wykonujących zadania związane z realizacją praw i obowiązków właściwych instytucji, wynikających z zawartych umów o dofinansowanie projektów,</w:t>
      </w:r>
    </w:p>
    <w:p w14:paraId="7E105A1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5.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 xml:space="preserve">osób, których dane będą przetwarzane w związku z badaniem kwalifikowalności środków w projekcie, w tym w szczególności: personelu projektu, uczestników komisji przetargowych, </w:t>
      </w:r>
      <w:r w:rsidRPr="003F7C1D">
        <w:rPr>
          <w:rFonts w:ascii="Arial" w:eastAsia="Arial" w:hAnsi="Arial" w:cs="Arial"/>
          <w:iCs/>
          <w:sz w:val="20"/>
          <w:szCs w:val="20"/>
        </w:rPr>
        <w:lastRenderedPageBreak/>
        <w:t>oferentów i wykonawców zamówień publicznych, osób świadczących usługi na podstawie umów cywilnoprawnych.</w:t>
      </w:r>
    </w:p>
    <w:p w14:paraId="545DBA6A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2AC5510C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Wśród rodzajów danych osobowych przetwarzanych przez Ministra można wymienić:</w:t>
      </w:r>
    </w:p>
    <w:p w14:paraId="6EC2F958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dane identyfikacyjne, w szczególności: imię, nazwisko, miejsce zatrudnienia/formę prowadzenia działalności gospodarczej, stanowisko; w niektórych przypadkach także nr PESEL/NIP/REGON,</w:t>
      </w:r>
    </w:p>
    <w:p w14:paraId="48E4A9D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dane dotyczące stosunku pracy, w szczególności otrzymywane wynagrodzenie oraz wymiar czasu pracy,</w:t>
      </w:r>
    </w:p>
    <w:p w14:paraId="075392B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3.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dane kontaktowe, które obejmują w szczególności adres e-mail, nr telefonu, nr fax, adres do korespondencji,</w:t>
      </w:r>
    </w:p>
    <w:p w14:paraId="2C303D8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4.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51B4ABEC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5.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14:paraId="1B3454B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41A23A4F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Dane pozyskiwane są bezpośrednio od osób, których dane dotyczą, albo od instytucji i podmiotów zaangażowanych w realizację programów operacyjnych, w szczególności wnioskodawców, beneficjentów i partnerów.</w:t>
      </w:r>
    </w:p>
    <w:p w14:paraId="07A3B60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2E8AEF6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W przypadku, gdy dane pozyskiwanie są bezpośrednio od osób, których dane dotyczą, podanie danych jest dobrowolne. Odmowa podania danych jest jednak równoznaczna z brakiem możliwości podjęcia stosownych działań, np. ubiegania się o środki w ramach POPC 2014-2020.</w:t>
      </w:r>
    </w:p>
    <w:p w14:paraId="230F197D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1551867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5)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Okres przechowywania danych:</w:t>
      </w:r>
    </w:p>
    <w:p w14:paraId="739F28BD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POPC 2014-2020 - z równoczesnym uwzględnieniem przepisów ustawy z dnia 14 lipca 1983 r. o narodowym zasobie archiwalnym i archiwach.</w:t>
      </w:r>
    </w:p>
    <w:p w14:paraId="3BEAC163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W niektórych przypadkach, np. prowadzenia kontroli u Ministra przez organy Unii Europejskiej, okres ten może zostać wydłużony.</w:t>
      </w:r>
    </w:p>
    <w:p w14:paraId="3809CE0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6)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Odbiorcy danych:</w:t>
      </w:r>
    </w:p>
    <w:p w14:paraId="6B30CA7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Odbiorcami danych osobowych mogą być:</w:t>
      </w:r>
    </w:p>
    <w:p w14:paraId="49D30EDE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•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podmioty, którym Instytucja Zarządzająca POPC 2014-2020 powierzyła wykonywanie zadań związanych z realizacją Programu, w tym w szczególności Instytucja Pośrednicząca POPC, a także eksperci, podmioty prowadzące audyty, kontrole, szkolenia i ewaluacje,</w:t>
      </w:r>
    </w:p>
    <w:p w14:paraId="40EE2EF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•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instytucje, organy i agencje Unii Europejskiej (UE), a także inne podmioty, którym UE powierzyła wykonywanie zadań związanych z wdrażaniem POPC 2014-2020,</w:t>
      </w:r>
    </w:p>
    <w:p w14:paraId="0C8BBAA8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•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podmioty świadczące na rzecz Ministra usługi związane z obsługą i rozwojem systemów teleinformatycznych oraz zapewnieniem łączności, w szczególności dostawcy rozwiązań IT i  operatorzy telekomunikacyjni.</w:t>
      </w:r>
    </w:p>
    <w:p w14:paraId="6784701B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7)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Prawa osoby, której dane dotyczą:</w:t>
      </w:r>
    </w:p>
    <w:p w14:paraId="5ECDBB09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Osobom, których dane przetwarzane są w związku z realizacją POPC 2014-2020 przysługują następujące prawa:</w:t>
      </w:r>
    </w:p>
    <w:p w14:paraId="158D3272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1.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 xml:space="preserve">prawo dostępu do danych osobowych i ich sprostowania. Realizując te prawo, osoba której dane dotyczą może zwrócić się do Ministra z pytanie m.in. o to czy Minister przetwarza jej dane osobowe, jakie dane osobowe przetwarza i skąd je pozyskał, jaki jest cel przetwarzania i jego podstawa prawna  oraz jak długo dane te będą przetwarzane. W przypadku, gdy przetwarzane dane okażą się nieaktualne, osoba, której dane dotyczą może zwrócić się do Ministra z wnioskiem </w:t>
      </w:r>
      <w:r w:rsidRPr="003F7C1D">
        <w:rPr>
          <w:rFonts w:ascii="Arial" w:eastAsia="Arial" w:hAnsi="Arial" w:cs="Arial"/>
          <w:iCs/>
          <w:sz w:val="20"/>
          <w:szCs w:val="20"/>
        </w:rPr>
        <w:lastRenderedPageBreak/>
        <w:t>o ich aktualizację;</w:t>
      </w:r>
    </w:p>
    <w:p w14:paraId="64D501A6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2.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prawo usunięcia lub ograniczenia ich przetwarzania – jeżeli spełnione są przesłanki określone w art. 17 i 18 RODO.</w:t>
      </w:r>
    </w:p>
    <w:p w14:paraId="5AAD2D05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40A5125A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17BDD20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682E128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Ograniczenie przetwarzania danych osobowych następuje także w przypadku wniesienia sprzeciwu wobec przetwarzania danych – do czasu rozpatrzenia przez Ministra tego sprzeciwu;</w:t>
      </w:r>
    </w:p>
    <w:p w14:paraId="4A89BEA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3.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prawo wniesienia skargi do Prezesa Urzędu Ochrony Danych Osobowych;</w:t>
      </w:r>
    </w:p>
    <w:p w14:paraId="2163DEF1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4.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prawo do cofnięcia zgody, w każdym momencie - w przypadku, gdy podstawą przetwarzania danych jest zgoda (art. 9 ust. 2 lit a RODO). Cofnięcie zgody nie spowoduje, że dotychczasowe przetwarzanie danych zostanie uznane za niezgodne z prawem;</w:t>
      </w:r>
    </w:p>
    <w:p w14:paraId="0F6C87F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5.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prawo otrzymania danych osobowych w ustrukturyzowanym powszechnie używanym formacie, przenoszenia tych danych do innych administratorów lub żądania, o ile jest to technicznie możliwe, przesłania ich przez administratora innemu administratorowi – w przypadku, gdy podstawą przetwarzania danych jest zgoda lub realizacja umowy z osobą, której dane dotyczą (art. 6 ust. 1 lit b RODO);</w:t>
      </w:r>
    </w:p>
    <w:p w14:paraId="51A8BBFD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6.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 xml:space="preserve">prawo wniesienia sprzeciwu wobec przetwarzania danych osobowych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 wolności osoby, której dane dotyczą, lub podstaw do ustalenia, dochodzenia lub obrony roszczeń. </w:t>
      </w:r>
    </w:p>
    <w:p w14:paraId="5140A7A9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386CD490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42236DCE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8)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Zautomatyzowane podejmowanie decyzji:</w:t>
      </w:r>
    </w:p>
    <w:p w14:paraId="64385B5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Dane nie podlegają procesowi zautomatyzowanego podejmowania decyzji.</w:t>
      </w:r>
    </w:p>
    <w:p w14:paraId="6114FAD6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7CE7C299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9)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Kontakt z Inspektorem Ochrony Danych:</w:t>
      </w:r>
    </w:p>
    <w:p w14:paraId="62216622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 xml:space="preserve">Ministerstwo Funduszy i Polityki Regionalnej ma swoją siedzibę pod adresem: </w:t>
      </w:r>
    </w:p>
    <w:p w14:paraId="36581E9D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ul. Wspólna 2/4, 00-926 Warszawa.</w:t>
      </w:r>
    </w:p>
    <w:p w14:paraId="6D9B34F7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</w:p>
    <w:p w14:paraId="764BCFF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 xml:space="preserve">W przypadku pytań, kontakt z Inspektorem Ochrony Danych </w:t>
      </w:r>
      <w:proofErr w:type="spellStart"/>
      <w:r w:rsidRPr="003F7C1D">
        <w:rPr>
          <w:rFonts w:ascii="Arial" w:eastAsia="Arial" w:hAnsi="Arial" w:cs="Arial"/>
          <w:iCs/>
          <w:sz w:val="20"/>
          <w:szCs w:val="20"/>
        </w:rPr>
        <w:t>MFiPR</w:t>
      </w:r>
      <w:proofErr w:type="spellEnd"/>
      <w:r w:rsidRPr="003F7C1D">
        <w:rPr>
          <w:rFonts w:ascii="Arial" w:eastAsia="Arial" w:hAnsi="Arial" w:cs="Arial"/>
          <w:iCs/>
          <w:sz w:val="20"/>
          <w:szCs w:val="20"/>
        </w:rPr>
        <w:t xml:space="preserve"> jest możliwy:</w:t>
      </w:r>
    </w:p>
    <w:p w14:paraId="5575B6F4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•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pod adresem: ul. Wspólna 2/4, 00-926 Warszawa,</w:t>
      </w:r>
    </w:p>
    <w:p w14:paraId="1FF89D76" w14:textId="77777777" w:rsidR="006250FA" w:rsidRPr="003F7C1D" w:rsidRDefault="006250FA" w:rsidP="006250FA">
      <w:pPr>
        <w:widowControl w:val="0"/>
        <w:spacing w:after="0"/>
        <w:ind w:left="426"/>
        <w:jc w:val="both"/>
        <w:rPr>
          <w:rFonts w:ascii="Arial" w:eastAsia="Arial" w:hAnsi="Arial" w:cs="Arial"/>
          <w:iCs/>
          <w:sz w:val="20"/>
          <w:szCs w:val="20"/>
        </w:rPr>
      </w:pPr>
      <w:r w:rsidRPr="003F7C1D">
        <w:rPr>
          <w:rFonts w:ascii="Arial" w:eastAsia="Arial" w:hAnsi="Arial" w:cs="Arial"/>
          <w:iCs/>
          <w:sz w:val="20"/>
          <w:szCs w:val="20"/>
        </w:rPr>
        <w:t>•</w:t>
      </w:r>
      <w:r w:rsidRPr="003F7C1D">
        <w:rPr>
          <w:rFonts w:ascii="Arial" w:eastAsia="Arial" w:hAnsi="Arial" w:cs="Arial"/>
          <w:iCs/>
          <w:sz w:val="20"/>
          <w:szCs w:val="20"/>
        </w:rPr>
        <w:tab/>
        <w:t>pod adresem poczty elektronicznej: IOD@mfipr.gov.pl</w:t>
      </w:r>
    </w:p>
    <w:p w14:paraId="1FBD8426" w14:textId="77777777" w:rsidR="006250FA" w:rsidRPr="003F7C1D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448355D5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7D80B6C6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</w:t>
      </w:r>
    </w:p>
    <w:p w14:paraId="4DF0C76F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</w:rPr>
        <w:t>podpisem elektronicznym lub podpisem zaufanym</w:t>
      </w:r>
    </w:p>
    <w:p w14:paraId="291FD0C1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 lub podpisem osobistym</w:t>
      </w:r>
    </w:p>
    <w:p w14:paraId="44985760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235CE0DB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3D2B0960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37137D38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01B7A2EA" w14:textId="77777777" w:rsidR="006250FA" w:rsidRDefault="006250FA" w:rsidP="006250FA">
      <w:pPr>
        <w:widowControl w:val="0"/>
        <w:spacing w:after="0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</w:p>
    <w:p w14:paraId="7CF1AF1D" w14:textId="77777777" w:rsidR="006250FA" w:rsidRDefault="006250FA" w:rsidP="006250FA">
      <w:pPr>
        <w:widowControl w:val="0"/>
        <w:spacing w:after="0"/>
        <w:rPr>
          <w:rFonts w:ascii="Arial" w:eastAsia="Arial" w:hAnsi="Arial" w:cs="Arial"/>
          <w:i/>
          <w:iCs/>
          <w:sz w:val="20"/>
          <w:szCs w:val="20"/>
        </w:rPr>
      </w:pPr>
    </w:p>
    <w:sectPr w:rsidR="006250FA" w:rsidSect="00E25DAB">
      <w:headerReference w:type="default" r:id="rId8"/>
      <w:pgSz w:w="11906" w:h="16838"/>
      <w:pgMar w:top="1417" w:right="1417" w:bottom="1417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82C4" w14:textId="77777777" w:rsidR="0073382C" w:rsidRDefault="0073382C" w:rsidP="00B1360F">
      <w:pPr>
        <w:spacing w:after="0" w:line="240" w:lineRule="auto"/>
      </w:pPr>
      <w:r>
        <w:separator/>
      </w:r>
    </w:p>
  </w:endnote>
  <w:endnote w:type="continuationSeparator" w:id="0">
    <w:p w14:paraId="23965AC6" w14:textId="77777777" w:rsidR="0073382C" w:rsidRDefault="0073382C" w:rsidP="00B1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D0F6" w14:textId="77777777" w:rsidR="0073382C" w:rsidRDefault="0073382C" w:rsidP="00B1360F">
      <w:pPr>
        <w:spacing w:after="0" w:line="240" w:lineRule="auto"/>
      </w:pPr>
      <w:r>
        <w:separator/>
      </w:r>
    </w:p>
  </w:footnote>
  <w:footnote w:type="continuationSeparator" w:id="0">
    <w:p w14:paraId="6D7939E5" w14:textId="77777777" w:rsidR="0073382C" w:rsidRDefault="0073382C" w:rsidP="00B1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E78A" w14:textId="447BF309" w:rsidR="00A82A63" w:rsidRDefault="00A82A63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62277CF4" wp14:editId="62EE68F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165102"/>
    <w:multiLevelType w:val="hybridMultilevel"/>
    <w:tmpl w:val="B786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8A04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7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9E4416"/>
    <w:multiLevelType w:val="hybridMultilevel"/>
    <w:tmpl w:val="8AD0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97D52"/>
    <w:multiLevelType w:val="hybridMultilevel"/>
    <w:tmpl w:val="2A40294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100C6"/>
    <w:multiLevelType w:val="hybridMultilevel"/>
    <w:tmpl w:val="C18A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75C6A8E">
      <w:start w:val="1"/>
      <w:numFmt w:val="decimal"/>
      <w:lvlText w:val="%4."/>
      <w:lvlJc w:val="left"/>
      <w:pPr>
        <w:ind w:left="2880" w:hanging="360"/>
      </w:pPr>
      <w:rPr>
        <w:i w:val="0"/>
        <w:iCs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76A1"/>
    <w:multiLevelType w:val="hybridMultilevel"/>
    <w:tmpl w:val="375C5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A4CDC"/>
    <w:multiLevelType w:val="hybridMultilevel"/>
    <w:tmpl w:val="A0485A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D0E4608"/>
    <w:multiLevelType w:val="hybridMultilevel"/>
    <w:tmpl w:val="ED428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-984" w:hanging="360"/>
      </w:pPr>
    </w:lvl>
    <w:lvl w:ilvl="1">
      <w:start w:val="1"/>
      <w:numFmt w:val="lowerLetter"/>
      <w:lvlText w:val="%2."/>
      <w:lvlJc w:val="left"/>
      <w:pPr>
        <w:ind w:left="-264" w:hanging="360"/>
      </w:pPr>
    </w:lvl>
    <w:lvl w:ilvl="2">
      <w:start w:val="1"/>
      <w:numFmt w:val="lowerRoman"/>
      <w:lvlText w:val="%3."/>
      <w:lvlJc w:val="right"/>
      <w:pPr>
        <w:ind w:left="456" w:hanging="180"/>
      </w:pPr>
    </w:lvl>
    <w:lvl w:ilvl="3">
      <w:start w:val="1"/>
      <w:numFmt w:val="decimal"/>
      <w:lvlText w:val="%4."/>
      <w:lvlJc w:val="left"/>
      <w:pPr>
        <w:ind w:left="1176" w:hanging="360"/>
      </w:pPr>
    </w:lvl>
    <w:lvl w:ilvl="4">
      <w:start w:val="1"/>
      <w:numFmt w:val="lowerLetter"/>
      <w:lvlText w:val="%5."/>
      <w:lvlJc w:val="left"/>
      <w:pPr>
        <w:ind w:left="1896" w:hanging="360"/>
      </w:pPr>
    </w:lvl>
    <w:lvl w:ilvl="5">
      <w:start w:val="1"/>
      <w:numFmt w:val="lowerRoman"/>
      <w:lvlText w:val="%6."/>
      <w:lvlJc w:val="right"/>
      <w:pPr>
        <w:ind w:left="2616" w:hanging="180"/>
      </w:pPr>
    </w:lvl>
    <w:lvl w:ilvl="6">
      <w:start w:val="1"/>
      <w:numFmt w:val="decimal"/>
      <w:lvlText w:val="%7."/>
      <w:lvlJc w:val="left"/>
      <w:pPr>
        <w:ind w:left="3336" w:hanging="360"/>
      </w:pPr>
    </w:lvl>
    <w:lvl w:ilvl="7">
      <w:start w:val="1"/>
      <w:numFmt w:val="lowerLetter"/>
      <w:lvlText w:val="%8."/>
      <w:lvlJc w:val="left"/>
      <w:pPr>
        <w:ind w:left="4056" w:hanging="360"/>
      </w:pPr>
    </w:lvl>
    <w:lvl w:ilvl="8">
      <w:start w:val="1"/>
      <w:numFmt w:val="lowerRoman"/>
      <w:lvlText w:val="%9."/>
      <w:lvlJc w:val="right"/>
      <w:pPr>
        <w:ind w:left="4776" w:hanging="180"/>
      </w:pPr>
    </w:lvl>
  </w:abstractNum>
  <w:abstractNum w:abstractNumId="27" w15:restartNumberingAfterBreak="0">
    <w:nsid w:val="6C6D6F73"/>
    <w:multiLevelType w:val="hybridMultilevel"/>
    <w:tmpl w:val="052851C4"/>
    <w:lvl w:ilvl="0" w:tplc="24FA0E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6B66D61"/>
    <w:multiLevelType w:val="multilevel"/>
    <w:tmpl w:val="72C8DFEA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5876169">
    <w:abstractNumId w:val="6"/>
  </w:num>
  <w:num w:numId="2" w16cid:durableId="392317891">
    <w:abstractNumId w:val="9"/>
  </w:num>
  <w:num w:numId="3" w16cid:durableId="86467810">
    <w:abstractNumId w:val="30"/>
  </w:num>
  <w:num w:numId="4" w16cid:durableId="1754426510">
    <w:abstractNumId w:val="18"/>
  </w:num>
  <w:num w:numId="5" w16cid:durableId="153378124">
    <w:abstractNumId w:val="19"/>
  </w:num>
  <w:num w:numId="6" w16cid:durableId="541290559">
    <w:abstractNumId w:val="12"/>
  </w:num>
  <w:num w:numId="7" w16cid:durableId="1182008614">
    <w:abstractNumId w:val="20"/>
  </w:num>
  <w:num w:numId="8" w16cid:durableId="1640303064">
    <w:abstractNumId w:val="28"/>
  </w:num>
  <w:num w:numId="9" w16cid:durableId="1703943544">
    <w:abstractNumId w:val="26"/>
  </w:num>
  <w:num w:numId="10" w16cid:durableId="1584686307">
    <w:abstractNumId w:val="14"/>
  </w:num>
  <w:num w:numId="11" w16cid:durableId="956762471">
    <w:abstractNumId w:val="8"/>
  </w:num>
  <w:num w:numId="12" w16cid:durableId="2034766177">
    <w:abstractNumId w:val="32"/>
  </w:num>
  <w:num w:numId="13" w16cid:durableId="1316253645">
    <w:abstractNumId w:val="3"/>
  </w:num>
  <w:num w:numId="14" w16cid:durableId="524829927">
    <w:abstractNumId w:val="0"/>
  </w:num>
  <w:num w:numId="15" w16cid:durableId="984503545">
    <w:abstractNumId w:val="23"/>
  </w:num>
  <w:num w:numId="16" w16cid:durableId="67046889">
    <w:abstractNumId w:val="1"/>
  </w:num>
  <w:num w:numId="17" w16cid:durableId="1588147592">
    <w:abstractNumId w:val="29"/>
  </w:num>
  <w:num w:numId="18" w16cid:durableId="1636762816">
    <w:abstractNumId w:val="4"/>
  </w:num>
  <w:num w:numId="19" w16cid:durableId="412776657">
    <w:abstractNumId w:val="31"/>
  </w:num>
  <w:num w:numId="20" w16cid:durableId="1157187661">
    <w:abstractNumId w:val="24"/>
  </w:num>
  <w:num w:numId="21" w16cid:durableId="1758600094">
    <w:abstractNumId w:val="25"/>
  </w:num>
  <w:num w:numId="22" w16cid:durableId="570047062">
    <w:abstractNumId w:val="21"/>
  </w:num>
  <w:num w:numId="23" w16cid:durableId="1113473304">
    <w:abstractNumId w:val="5"/>
  </w:num>
  <w:num w:numId="24" w16cid:durableId="499002181">
    <w:abstractNumId w:val="13"/>
  </w:num>
  <w:num w:numId="25" w16cid:durableId="1038118580">
    <w:abstractNumId w:val="7"/>
  </w:num>
  <w:num w:numId="26" w16cid:durableId="1855143442">
    <w:abstractNumId w:val="22"/>
  </w:num>
  <w:num w:numId="27" w16cid:durableId="2034064613">
    <w:abstractNumId w:val="16"/>
  </w:num>
  <w:num w:numId="28" w16cid:durableId="8281350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3160960">
    <w:abstractNumId w:val="10"/>
  </w:num>
  <w:num w:numId="30" w16cid:durableId="420688831">
    <w:abstractNumId w:val="2"/>
  </w:num>
  <w:num w:numId="31" w16cid:durableId="1504390533">
    <w:abstractNumId w:val="17"/>
  </w:num>
  <w:num w:numId="32" w16cid:durableId="1665426432">
    <w:abstractNumId w:val="27"/>
  </w:num>
  <w:num w:numId="33" w16cid:durableId="211774851">
    <w:abstractNumId w:val="15"/>
  </w:num>
  <w:num w:numId="34" w16cid:durableId="370149472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0F"/>
    <w:rsid w:val="00006F67"/>
    <w:rsid w:val="00011925"/>
    <w:rsid w:val="00025610"/>
    <w:rsid w:val="0004114E"/>
    <w:rsid w:val="00041EC7"/>
    <w:rsid w:val="000454C6"/>
    <w:rsid w:val="00054325"/>
    <w:rsid w:val="000624BA"/>
    <w:rsid w:val="00064647"/>
    <w:rsid w:val="00085EF7"/>
    <w:rsid w:val="0008639E"/>
    <w:rsid w:val="00092F75"/>
    <w:rsid w:val="00094BAE"/>
    <w:rsid w:val="00095703"/>
    <w:rsid w:val="000A0778"/>
    <w:rsid w:val="000A3482"/>
    <w:rsid w:val="000A38B3"/>
    <w:rsid w:val="000C4C58"/>
    <w:rsid w:val="000D101C"/>
    <w:rsid w:val="000D145E"/>
    <w:rsid w:val="000D177C"/>
    <w:rsid w:val="000D4E69"/>
    <w:rsid w:val="000D5ED8"/>
    <w:rsid w:val="000E56C0"/>
    <w:rsid w:val="000F5225"/>
    <w:rsid w:val="000F56AF"/>
    <w:rsid w:val="00104D25"/>
    <w:rsid w:val="00111051"/>
    <w:rsid w:val="00115205"/>
    <w:rsid w:val="00125829"/>
    <w:rsid w:val="00131736"/>
    <w:rsid w:val="001414E5"/>
    <w:rsid w:val="00142DED"/>
    <w:rsid w:val="00144037"/>
    <w:rsid w:val="001446E4"/>
    <w:rsid w:val="0014596E"/>
    <w:rsid w:val="0015155F"/>
    <w:rsid w:val="00162C67"/>
    <w:rsid w:val="00163454"/>
    <w:rsid w:val="00163E2F"/>
    <w:rsid w:val="001711D2"/>
    <w:rsid w:val="00172329"/>
    <w:rsid w:val="00181978"/>
    <w:rsid w:val="00187583"/>
    <w:rsid w:val="0019216C"/>
    <w:rsid w:val="001969CF"/>
    <w:rsid w:val="001A78D2"/>
    <w:rsid w:val="001B3072"/>
    <w:rsid w:val="001B7250"/>
    <w:rsid w:val="001C0D6C"/>
    <w:rsid w:val="001C7383"/>
    <w:rsid w:val="001E5ADB"/>
    <w:rsid w:val="001E7F2A"/>
    <w:rsid w:val="001F2070"/>
    <w:rsid w:val="001F3172"/>
    <w:rsid w:val="001F6305"/>
    <w:rsid w:val="001F7968"/>
    <w:rsid w:val="001F7CA0"/>
    <w:rsid w:val="00202782"/>
    <w:rsid w:val="00215CDC"/>
    <w:rsid w:val="00216EDF"/>
    <w:rsid w:val="00225C2E"/>
    <w:rsid w:val="00227BEF"/>
    <w:rsid w:val="00260469"/>
    <w:rsid w:val="0026599D"/>
    <w:rsid w:val="00271B36"/>
    <w:rsid w:val="002807DB"/>
    <w:rsid w:val="00281C2F"/>
    <w:rsid w:val="00287DFC"/>
    <w:rsid w:val="0029658F"/>
    <w:rsid w:val="002A1B83"/>
    <w:rsid w:val="002A2053"/>
    <w:rsid w:val="002A32AC"/>
    <w:rsid w:val="002A6A1B"/>
    <w:rsid w:val="002B0844"/>
    <w:rsid w:val="002B416C"/>
    <w:rsid w:val="002B789A"/>
    <w:rsid w:val="002C490D"/>
    <w:rsid w:val="002D4FD6"/>
    <w:rsid w:val="002F0279"/>
    <w:rsid w:val="00310AF0"/>
    <w:rsid w:val="00311E8D"/>
    <w:rsid w:val="003214F5"/>
    <w:rsid w:val="003226C5"/>
    <w:rsid w:val="00332F52"/>
    <w:rsid w:val="00335835"/>
    <w:rsid w:val="00342E73"/>
    <w:rsid w:val="0034788A"/>
    <w:rsid w:val="0035168A"/>
    <w:rsid w:val="00364AD9"/>
    <w:rsid w:val="003725D8"/>
    <w:rsid w:val="00374AAC"/>
    <w:rsid w:val="00374FBC"/>
    <w:rsid w:val="00376CC8"/>
    <w:rsid w:val="00382ACE"/>
    <w:rsid w:val="00390626"/>
    <w:rsid w:val="003A2FED"/>
    <w:rsid w:val="003B3D84"/>
    <w:rsid w:val="003C171B"/>
    <w:rsid w:val="003D28BC"/>
    <w:rsid w:val="003D2A6B"/>
    <w:rsid w:val="003E1378"/>
    <w:rsid w:val="003E2E3E"/>
    <w:rsid w:val="003F2241"/>
    <w:rsid w:val="003F732C"/>
    <w:rsid w:val="00406308"/>
    <w:rsid w:val="004064B6"/>
    <w:rsid w:val="0041433F"/>
    <w:rsid w:val="0042756A"/>
    <w:rsid w:val="00443C34"/>
    <w:rsid w:val="004476DC"/>
    <w:rsid w:val="004510B2"/>
    <w:rsid w:val="00454177"/>
    <w:rsid w:val="0045559F"/>
    <w:rsid w:val="004651E3"/>
    <w:rsid w:val="00476514"/>
    <w:rsid w:val="00477397"/>
    <w:rsid w:val="00482AA7"/>
    <w:rsid w:val="00484C93"/>
    <w:rsid w:val="0049286C"/>
    <w:rsid w:val="0049401A"/>
    <w:rsid w:val="004A4FE6"/>
    <w:rsid w:val="004B32FC"/>
    <w:rsid w:val="004B7807"/>
    <w:rsid w:val="004D3EDB"/>
    <w:rsid w:val="004D4E0F"/>
    <w:rsid w:val="004D6BEB"/>
    <w:rsid w:val="004E42D3"/>
    <w:rsid w:val="005005AD"/>
    <w:rsid w:val="00500DBC"/>
    <w:rsid w:val="005020B6"/>
    <w:rsid w:val="005169C5"/>
    <w:rsid w:val="0052600A"/>
    <w:rsid w:val="00535C83"/>
    <w:rsid w:val="00541BFF"/>
    <w:rsid w:val="00546F1B"/>
    <w:rsid w:val="0055050C"/>
    <w:rsid w:val="00556F68"/>
    <w:rsid w:val="00560DDF"/>
    <w:rsid w:val="00566054"/>
    <w:rsid w:val="005772E8"/>
    <w:rsid w:val="005A0DF8"/>
    <w:rsid w:val="005A1A30"/>
    <w:rsid w:val="005B052F"/>
    <w:rsid w:val="005C06B3"/>
    <w:rsid w:val="005C08AE"/>
    <w:rsid w:val="005C20C3"/>
    <w:rsid w:val="005C3F31"/>
    <w:rsid w:val="005E2FE4"/>
    <w:rsid w:val="005E32F4"/>
    <w:rsid w:val="0060268A"/>
    <w:rsid w:val="00611B84"/>
    <w:rsid w:val="00617751"/>
    <w:rsid w:val="006218EC"/>
    <w:rsid w:val="00624C91"/>
    <w:rsid w:val="006250FA"/>
    <w:rsid w:val="006325FF"/>
    <w:rsid w:val="006364E3"/>
    <w:rsid w:val="006431B0"/>
    <w:rsid w:val="00647950"/>
    <w:rsid w:val="006544B7"/>
    <w:rsid w:val="00655444"/>
    <w:rsid w:val="0066710A"/>
    <w:rsid w:val="00667317"/>
    <w:rsid w:val="006700F6"/>
    <w:rsid w:val="00674F02"/>
    <w:rsid w:val="006806B6"/>
    <w:rsid w:val="00683F5E"/>
    <w:rsid w:val="00686CDB"/>
    <w:rsid w:val="006914EC"/>
    <w:rsid w:val="00691804"/>
    <w:rsid w:val="006A327F"/>
    <w:rsid w:val="006A3986"/>
    <w:rsid w:val="006A4A31"/>
    <w:rsid w:val="006A6CBC"/>
    <w:rsid w:val="006B1570"/>
    <w:rsid w:val="006B4D43"/>
    <w:rsid w:val="006B6352"/>
    <w:rsid w:val="006B7D48"/>
    <w:rsid w:val="006C0F97"/>
    <w:rsid w:val="006C1D45"/>
    <w:rsid w:val="006C54DA"/>
    <w:rsid w:val="006D107E"/>
    <w:rsid w:val="006D75D1"/>
    <w:rsid w:val="006E4543"/>
    <w:rsid w:val="006E5C84"/>
    <w:rsid w:val="006F0A1F"/>
    <w:rsid w:val="007212CA"/>
    <w:rsid w:val="007253BF"/>
    <w:rsid w:val="0073289C"/>
    <w:rsid w:val="0073382C"/>
    <w:rsid w:val="00734F57"/>
    <w:rsid w:val="00736586"/>
    <w:rsid w:val="007400F1"/>
    <w:rsid w:val="00743733"/>
    <w:rsid w:val="0074412D"/>
    <w:rsid w:val="00744926"/>
    <w:rsid w:val="0075299B"/>
    <w:rsid w:val="00753982"/>
    <w:rsid w:val="0075561B"/>
    <w:rsid w:val="00761B94"/>
    <w:rsid w:val="00761C1A"/>
    <w:rsid w:val="00767A58"/>
    <w:rsid w:val="00770BBB"/>
    <w:rsid w:val="00776A3E"/>
    <w:rsid w:val="00777711"/>
    <w:rsid w:val="00783F5E"/>
    <w:rsid w:val="00786055"/>
    <w:rsid w:val="00786F4F"/>
    <w:rsid w:val="00792256"/>
    <w:rsid w:val="00797BF3"/>
    <w:rsid w:val="007A11BF"/>
    <w:rsid w:val="007A4EAE"/>
    <w:rsid w:val="007B2E5A"/>
    <w:rsid w:val="007B6637"/>
    <w:rsid w:val="007C57DB"/>
    <w:rsid w:val="007D1115"/>
    <w:rsid w:val="007E2366"/>
    <w:rsid w:val="007E580B"/>
    <w:rsid w:val="007E754B"/>
    <w:rsid w:val="007F013C"/>
    <w:rsid w:val="007F4ADA"/>
    <w:rsid w:val="00801C6C"/>
    <w:rsid w:val="00805CE8"/>
    <w:rsid w:val="00806C52"/>
    <w:rsid w:val="008138BE"/>
    <w:rsid w:val="008143E2"/>
    <w:rsid w:val="0082320C"/>
    <w:rsid w:val="00853252"/>
    <w:rsid w:val="0085330D"/>
    <w:rsid w:val="00854BD0"/>
    <w:rsid w:val="00860AA3"/>
    <w:rsid w:val="008621B4"/>
    <w:rsid w:val="008872E5"/>
    <w:rsid w:val="00887F0E"/>
    <w:rsid w:val="00893454"/>
    <w:rsid w:val="00893E92"/>
    <w:rsid w:val="008C0E02"/>
    <w:rsid w:val="008C1E5A"/>
    <w:rsid w:val="008D34C1"/>
    <w:rsid w:val="008E2F17"/>
    <w:rsid w:val="008E5BD7"/>
    <w:rsid w:val="008F262C"/>
    <w:rsid w:val="008F2DB3"/>
    <w:rsid w:val="008F4D1A"/>
    <w:rsid w:val="00900FD2"/>
    <w:rsid w:val="009063DE"/>
    <w:rsid w:val="00906412"/>
    <w:rsid w:val="009155FD"/>
    <w:rsid w:val="00915FC9"/>
    <w:rsid w:val="0091739C"/>
    <w:rsid w:val="009275F5"/>
    <w:rsid w:val="00943C88"/>
    <w:rsid w:val="0095757F"/>
    <w:rsid w:val="00961FB6"/>
    <w:rsid w:val="0096552A"/>
    <w:rsid w:val="009766EF"/>
    <w:rsid w:val="00984656"/>
    <w:rsid w:val="009870E3"/>
    <w:rsid w:val="0099248C"/>
    <w:rsid w:val="009936C3"/>
    <w:rsid w:val="00995A6F"/>
    <w:rsid w:val="009A2D23"/>
    <w:rsid w:val="009B1DDF"/>
    <w:rsid w:val="009B4DBA"/>
    <w:rsid w:val="009B4F1A"/>
    <w:rsid w:val="009B6622"/>
    <w:rsid w:val="009B6744"/>
    <w:rsid w:val="009D2A86"/>
    <w:rsid w:val="009D46D3"/>
    <w:rsid w:val="009D5BFE"/>
    <w:rsid w:val="009D648E"/>
    <w:rsid w:val="009D7FD5"/>
    <w:rsid w:val="009F30F2"/>
    <w:rsid w:val="00A028FC"/>
    <w:rsid w:val="00A31C2F"/>
    <w:rsid w:val="00A37110"/>
    <w:rsid w:val="00A44EC5"/>
    <w:rsid w:val="00A4574E"/>
    <w:rsid w:val="00A45CA8"/>
    <w:rsid w:val="00A4661B"/>
    <w:rsid w:val="00A46A50"/>
    <w:rsid w:val="00A470A2"/>
    <w:rsid w:val="00A565FB"/>
    <w:rsid w:val="00A566D8"/>
    <w:rsid w:val="00A6780A"/>
    <w:rsid w:val="00A709B7"/>
    <w:rsid w:val="00A82A63"/>
    <w:rsid w:val="00A85472"/>
    <w:rsid w:val="00A975C9"/>
    <w:rsid w:val="00AA0707"/>
    <w:rsid w:val="00AA49DB"/>
    <w:rsid w:val="00AA5D67"/>
    <w:rsid w:val="00AA73DC"/>
    <w:rsid w:val="00AB2453"/>
    <w:rsid w:val="00AC1E49"/>
    <w:rsid w:val="00AC473F"/>
    <w:rsid w:val="00AD1CA8"/>
    <w:rsid w:val="00AD1D2F"/>
    <w:rsid w:val="00AD2116"/>
    <w:rsid w:val="00AD7A03"/>
    <w:rsid w:val="00AF0655"/>
    <w:rsid w:val="00AF24DA"/>
    <w:rsid w:val="00B050B7"/>
    <w:rsid w:val="00B1360F"/>
    <w:rsid w:val="00B13F97"/>
    <w:rsid w:val="00B142C2"/>
    <w:rsid w:val="00B14FB5"/>
    <w:rsid w:val="00B2150E"/>
    <w:rsid w:val="00B23055"/>
    <w:rsid w:val="00B268CA"/>
    <w:rsid w:val="00B44980"/>
    <w:rsid w:val="00B46790"/>
    <w:rsid w:val="00B578D3"/>
    <w:rsid w:val="00B67E11"/>
    <w:rsid w:val="00B711F0"/>
    <w:rsid w:val="00B71431"/>
    <w:rsid w:val="00B76FD2"/>
    <w:rsid w:val="00B94C0C"/>
    <w:rsid w:val="00B94FC6"/>
    <w:rsid w:val="00BA02ED"/>
    <w:rsid w:val="00BB34AC"/>
    <w:rsid w:val="00BB5539"/>
    <w:rsid w:val="00BB5BAC"/>
    <w:rsid w:val="00BC4B01"/>
    <w:rsid w:val="00BC62DB"/>
    <w:rsid w:val="00BC7DDA"/>
    <w:rsid w:val="00BD2409"/>
    <w:rsid w:val="00BD4790"/>
    <w:rsid w:val="00BD6283"/>
    <w:rsid w:val="00BE5505"/>
    <w:rsid w:val="00BF0EFE"/>
    <w:rsid w:val="00BF75CE"/>
    <w:rsid w:val="00C11306"/>
    <w:rsid w:val="00C1438E"/>
    <w:rsid w:val="00C14A51"/>
    <w:rsid w:val="00C168E0"/>
    <w:rsid w:val="00C2741C"/>
    <w:rsid w:val="00C27D74"/>
    <w:rsid w:val="00C30160"/>
    <w:rsid w:val="00C33BA1"/>
    <w:rsid w:val="00C470DC"/>
    <w:rsid w:val="00C5156E"/>
    <w:rsid w:val="00C52832"/>
    <w:rsid w:val="00C61099"/>
    <w:rsid w:val="00C74B67"/>
    <w:rsid w:val="00C8477A"/>
    <w:rsid w:val="00C92BDC"/>
    <w:rsid w:val="00C939D3"/>
    <w:rsid w:val="00C94412"/>
    <w:rsid w:val="00CA4865"/>
    <w:rsid w:val="00CA59B2"/>
    <w:rsid w:val="00CB33AF"/>
    <w:rsid w:val="00CC1000"/>
    <w:rsid w:val="00CC61D5"/>
    <w:rsid w:val="00CC7DD1"/>
    <w:rsid w:val="00CD0037"/>
    <w:rsid w:val="00CD7603"/>
    <w:rsid w:val="00D019D8"/>
    <w:rsid w:val="00D0777D"/>
    <w:rsid w:val="00D143C3"/>
    <w:rsid w:val="00D22F22"/>
    <w:rsid w:val="00D31C45"/>
    <w:rsid w:val="00D32828"/>
    <w:rsid w:val="00D72EC2"/>
    <w:rsid w:val="00D76A2E"/>
    <w:rsid w:val="00D844EC"/>
    <w:rsid w:val="00DA1BBE"/>
    <w:rsid w:val="00DB3650"/>
    <w:rsid w:val="00DB4C47"/>
    <w:rsid w:val="00DB5821"/>
    <w:rsid w:val="00DC4F02"/>
    <w:rsid w:val="00DC5E60"/>
    <w:rsid w:val="00DE14AF"/>
    <w:rsid w:val="00DE29DF"/>
    <w:rsid w:val="00DF3E23"/>
    <w:rsid w:val="00DF40D4"/>
    <w:rsid w:val="00E03FBC"/>
    <w:rsid w:val="00E106FC"/>
    <w:rsid w:val="00E220D8"/>
    <w:rsid w:val="00E22958"/>
    <w:rsid w:val="00E25DAB"/>
    <w:rsid w:val="00E37650"/>
    <w:rsid w:val="00E46A16"/>
    <w:rsid w:val="00E506D7"/>
    <w:rsid w:val="00E60FA8"/>
    <w:rsid w:val="00E6655C"/>
    <w:rsid w:val="00E7450B"/>
    <w:rsid w:val="00E93108"/>
    <w:rsid w:val="00EC7650"/>
    <w:rsid w:val="00EC7653"/>
    <w:rsid w:val="00ED1C90"/>
    <w:rsid w:val="00EF25CC"/>
    <w:rsid w:val="00F010A1"/>
    <w:rsid w:val="00F01EF3"/>
    <w:rsid w:val="00F058DC"/>
    <w:rsid w:val="00F21E41"/>
    <w:rsid w:val="00F22DA2"/>
    <w:rsid w:val="00F32B91"/>
    <w:rsid w:val="00F704EA"/>
    <w:rsid w:val="00FA06C9"/>
    <w:rsid w:val="00FA0C7F"/>
    <w:rsid w:val="00FA228B"/>
    <w:rsid w:val="00FB1A98"/>
    <w:rsid w:val="00FB60FA"/>
    <w:rsid w:val="00FC3880"/>
    <w:rsid w:val="00FE4969"/>
    <w:rsid w:val="00FE537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57A94"/>
  <w15:docId w15:val="{A9555562-BE59-4CB8-B020-9B4FE4F0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60F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360F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360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1360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1360F"/>
    <w:rPr>
      <w:rFonts w:ascii="Times New Roman" w:hAnsi="Times New Roman"/>
      <w:sz w:val="20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B1360F"/>
    <w:rPr>
      <w:rFonts w:ascii="Times New Roman" w:hAnsi="Times New Roman"/>
      <w:b/>
      <w:sz w:val="20"/>
      <w:lang w:val="x-none" w:eastAsia="pl-PL"/>
    </w:rPr>
  </w:style>
  <w:style w:type="character" w:customStyle="1" w:styleId="Nagwek7Znak">
    <w:name w:val="Nagłówek 7 Znak"/>
    <w:link w:val="Nagwek7"/>
    <w:uiPriority w:val="9"/>
    <w:locked/>
    <w:rsid w:val="00B1360F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B1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360F"/>
    <w:rPr>
      <w:rFonts w:eastAsia="Times New Roman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B1360F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B1360F"/>
    <w:rPr>
      <w:rFonts w:ascii="Times New Roman" w:hAnsi="Times New Roman"/>
      <w:color w:val="FF0000"/>
      <w:sz w:val="20"/>
      <w:lang w:val="x-none" w:eastAsia="pl-PL"/>
    </w:rPr>
  </w:style>
  <w:style w:type="paragraph" w:styleId="Akapitzlist">
    <w:name w:val="List Paragraph"/>
    <w:aliases w:val="maz_wyliczenie,opis dzialania,K-P_odwolanie,A_wyliczenie,Akapit z listą5,Akapit z listą51,CW_Lista,Wypunktowanie,L1,Numerowanie,2 heading,Preambuła,lp1,normalny tekst,Akapit z list¹,BulletC,Wyliczanie,Obiekt,Akapit z listą31,Bullets"/>
    <w:basedOn w:val="Normalny"/>
    <w:link w:val="AkapitzlistZnak"/>
    <w:uiPriority w:val="34"/>
    <w:qFormat/>
    <w:rsid w:val="00B136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360F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B1360F"/>
    <w:rPr>
      <w:rFonts w:ascii="Times New Roman" w:hAnsi="Times New Roman"/>
      <w:sz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36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1360F"/>
    <w:rPr>
      <w:rFonts w:ascii="Times New Roman" w:hAnsi="Times New Roman"/>
      <w:sz w:val="20"/>
      <w:lang w:val="x-none" w:eastAsia="pl-PL"/>
    </w:rPr>
  </w:style>
  <w:style w:type="paragraph" w:customStyle="1" w:styleId="WW-Tekstpodstawowy3">
    <w:name w:val="WW-Tekst podstawowy 3"/>
    <w:basedOn w:val="Normalny"/>
    <w:uiPriority w:val="99"/>
    <w:rsid w:val="00B1360F"/>
    <w:pPr>
      <w:suppressAutoHyphens/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1360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1360F"/>
    <w:rPr>
      <w:rFonts w:eastAsia="Times New Roman"/>
      <w:sz w:val="16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B1360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B1360F"/>
    <w:rPr>
      <w:rFonts w:ascii="Courier New" w:hAnsi="Courier New"/>
      <w:sz w:val="20"/>
      <w:lang w:val="x-none" w:eastAsia="pl-PL"/>
    </w:rPr>
  </w:style>
  <w:style w:type="table" w:styleId="Tabela-Siatka">
    <w:name w:val="Table Grid"/>
    <w:basedOn w:val="Standardowy"/>
    <w:uiPriority w:val="99"/>
    <w:rsid w:val="00B1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B1360F"/>
    <w:rPr>
      <w:rFonts w:cs="Times New Roman"/>
      <w:vertAlign w:val="superscript"/>
    </w:rPr>
  </w:style>
  <w:style w:type="paragraph" w:styleId="Spistreci5">
    <w:name w:val="toc 5"/>
    <w:basedOn w:val="Normalny"/>
    <w:next w:val="Normalny"/>
    <w:autoRedefine/>
    <w:uiPriority w:val="99"/>
    <w:semiHidden/>
    <w:rsid w:val="00B1360F"/>
    <w:pPr>
      <w:spacing w:after="0" w:line="240" w:lineRule="auto"/>
      <w:jc w:val="right"/>
    </w:pPr>
    <w:rPr>
      <w:rFonts w:ascii="Arial" w:hAnsi="Arial" w:cs="Arial"/>
      <w:i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19216C"/>
    <w:pPr>
      <w:spacing w:after="0" w:line="240" w:lineRule="auto"/>
      <w:jc w:val="center"/>
    </w:pPr>
    <w:rPr>
      <w:rFonts w:ascii="Arial" w:eastAsia="Calibri" w:hAnsi="Arial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921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9216C"/>
    <w:rPr>
      <w:rFonts w:ascii="Tahoma" w:hAnsi="Tahoma"/>
      <w:sz w:val="1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9B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DDF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9B1DDF"/>
    <w:rPr>
      <w:vertAlign w:val="superscript"/>
    </w:rPr>
  </w:style>
  <w:style w:type="character" w:styleId="Hipercze">
    <w:name w:val="Hyperlink"/>
    <w:basedOn w:val="Domylnaczcionkaakapitu"/>
    <w:uiPriority w:val="99"/>
    <w:unhideWhenUsed/>
    <w:locked/>
    <w:rsid w:val="009B1D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61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61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FB6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61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B6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961FB6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locked/>
    <w:rsid w:val="00E25D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AB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2 heading Znak,Preambuła Znak,lp1 Znak,BulletC Znak"/>
    <w:link w:val="Akapitzlist"/>
    <w:qFormat/>
    <w:locked/>
    <w:rsid w:val="004064B6"/>
    <w:rPr>
      <w:rFonts w:eastAsia="Times New Roman"/>
      <w:sz w:val="22"/>
      <w:szCs w:val="22"/>
    </w:rPr>
  </w:style>
  <w:style w:type="paragraph" w:customStyle="1" w:styleId="Tytu1">
    <w:name w:val="Tytu³ 1"/>
    <w:basedOn w:val="Normalny"/>
    <w:next w:val="Normalny"/>
    <w:uiPriority w:val="99"/>
    <w:rsid w:val="00B71431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Tytu2">
    <w:name w:val="Tytuł 2"/>
    <w:basedOn w:val="Normalny"/>
    <w:next w:val="Normalny"/>
    <w:uiPriority w:val="99"/>
    <w:rsid w:val="00B71431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Arial" w:hAnsi="Arial" w:cs="Arial"/>
      <w:b/>
      <w:bCs/>
    </w:rPr>
  </w:style>
  <w:style w:type="paragraph" w:customStyle="1" w:styleId="Tytu3">
    <w:name w:val="Tytuł 3"/>
    <w:basedOn w:val="Normalny"/>
    <w:next w:val="Normalny"/>
    <w:uiPriority w:val="99"/>
    <w:rsid w:val="00B71431"/>
    <w:pPr>
      <w:keepNext/>
      <w:widowControl w:val="0"/>
      <w:numPr>
        <w:ilvl w:val="2"/>
        <w:numId w:val="1"/>
      </w:numPr>
      <w:tabs>
        <w:tab w:val="left" w:pos="852"/>
        <w:tab w:val="left" w:pos="1146"/>
      </w:tabs>
      <w:suppressAutoHyphens/>
      <w:autoSpaceDE w:val="0"/>
      <w:spacing w:before="120" w:after="0" w:line="240" w:lineRule="auto"/>
      <w:ind w:left="1146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Tytu4">
    <w:name w:val="Tytu³ 4"/>
    <w:basedOn w:val="Normalny"/>
    <w:next w:val="Normalny"/>
    <w:uiPriority w:val="99"/>
    <w:rsid w:val="00B71431"/>
    <w:pPr>
      <w:keepNext/>
      <w:widowControl w:val="0"/>
      <w:numPr>
        <w:ilvl w:val="3"/>
        <w:numId w:val="1"/>
      </w:numPr>
      <w:suppressAutoHyphens/>
      <w:autoSpaceDE w:val="0"/>
      <w:spacing w:before="120"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customStyle="1" w:styleId="Tytu5">
    <w:name w:val="Tytuł 5"/>
    <w:basedOn w:val="Normalny"/>
    <w:next w:val="Normalny"/>
    <w:uiPriority w:val="99"/>
    <w:rsid w:val="00B71431"/>
    <w:pPr>
      <w:keepNext/>
      <w:widowControl w:val="0"/>
      <w:numPr>
        <w:ilvl w:val="4"/>
        <w:numId w:val="1"/>
      </w:numPr>
      <w:suppressAutoHyphens/>
      <w:autoSpaceDE w:val="0"/>
      <w:spacing w:after="120" w:line="24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Tytu6">
    <w:name w:val="Tytuł 6"/>
    <w:basedOn w:val="Normalny"/>
    <w:next w:val="Normalny"/>
    <w:uiPriority w:val="99"/>
    <w:rsid w:val="00B71431"/>
    <w:pPr>
      <w:keepNext/>
      <w:widowControl w:val="0"/>
      <w:numPr>
        <w:ilvl w:val="5"/>
        <w:numId w:val="1"/>
      </w:numPr>
      <w:tabs>
        <w:tab w:val="left" w:pos="783"/>
        <w:tab w:val="left" w:pos="1437"/>
      </w:tabs>
      <w:suppressAutoHyphens/>
      <w:autoSpaceDE w:val="0"/>
      <w:spacing w:before="120" w:after="0" w:line="360" w:lineRule="auto"/>
      <w:ind w:left="1437" w:hanging="1080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Tytu7">
    <w:name w:val="Tytuł 7"/>
    <w:basedOn w:val="Normalny"/>
    <w:next w:val="Normalny"/>
    <w:uiPriority w:val="99"/>
    <w:rsid w:val="00B71431"/>
    <w:pPr>
      <w:keepNext/>
      <w:widowControl w:val="0"/>
      <w:numPr>
        <w:ilvl w:val="6"/>
        <w:numId w:val="1"/>
      </w:numPr>
      <w:tabs>
        <w:tab w:val="left" w:pos="426"/>
        <w:tab w:val="left" w:pos="1080"/>
      </w:tabs>
      <w:suppressAutoHyphens/>
      <w:autoSpaceDE w:val="0"/>
      <w:spacing w:after="0" w:line="360" w:lineRule="auto"/>
      <w:ind w:left="1080" w:hanging="1080"/>
      <w:outlineLvl w:val="6"/>
    </w:pPr>
    <w:rPr>
      <w:rFonts w:ascii="Arial" w:hAnsi="Arial" w:cs="Arial"/>
      <w:b/>
      <w:bCs/>
      <w:sz w:val="24"/>
      <w:szCs w:val="24"/>
    </w:rPr>
  </w:style>
  <w:style w:type="paragraph" w:customStyle="1" w:styleId="Tytu8">
    <w:name w:val="Tytu³ 8"/>
    <w:basedOn w:val="Normalny"/>
    <w:next w:val="Normalny"/>
    <w:uiPriority w:val="99"/>
    <w:rsid w:val="00B71431"/>
    <w:pPr>
      <w:keepNext/>
      <w:widowControl w:val="0"/>
      <w:numPr>
        <w:ilvl w:val="7"/>
        <w:numId w:val="1"/>
      </w:numPr>
      <w:suppressAutoHyphens/>
      <w:autoSpaceDE w:val="0"/>
      <w:spacing w:after="0" w:line="240" w:lineRule="auto"/>
      <w:ind w:left="708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customStyle="1" w:styleId="Tytu9">
    <w:name w:val="Tytuł 9"/>
    <w:basedOn w:val="Normalny"/>
    <w:next w:val="Normalny"/>
    <w:uiPriority w:val="99"/>
    <w:rsid w:val="00B71431"/>
    <w:pPr>
      <w:keepNext/>
      <w:widowControl w:val="0"/>
      <w:numPr>
        <w:ilvl w:val="8"/>
        <w:numId w:val="1"/>
      </w:numPr>
      <w:suppressAutoHyphens/>
      <w:autoSpaceDE w:val="0"/>
      <w:spacing w:after="0" w:line="240" w:lineRule="auto"/>
      <w:ind w:left="360"/>
      <w:jc w:val="both"/>
      <w:outlineLvl w:val="8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NumPar1">
    <w:name w:val="NumPar 1"/>
    <w:basedOn w:val="Normalny"/>
    <w:next w:val="Normalny"/>
    <w:rsid w:val="00B71431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71431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71431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71431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B71431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B71431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Default">
    <w:name w:val="Default"/>
    <w:rsid w:val="00B714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B7143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link w:val="pktZnak"/>
    <w:rsid w:val="00B7143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B71431"/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6E8E-096B-400D-9C66-FB2E3859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1816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</dc:creator>
  <cp:lastModifiedBy>Sebastian Frymarski</cp:lastModifiedBy>
  <cp:revision>5</cp:revision>
  <cp:lastPrinted>2022-03-28T07:11:00Z</cp:lastPrinted>
  <dcterms:created xsi:type="dcterms:W3CDTF">2022-03-29T08:41:00Z</dcterms:created>
  <dcterms:modified xsi:type="dcterms:W3CDTF">2023-06-21T11:19:00Z</dcterms:modified>
</cp:coreProperties>
</file>