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51" w:rsidRDefault="000248A4" w:rsidP="00F82651">
      <w:pPr>
        <w:pStyle w:val="Akapitzlist"/>
        <w:tabs>
          <w:tab w:val="left" w:pos="8178"/>
        </w:tabs>
        <w:spacing w:after="0"/>
        <w:contextualSpacing w:val="0"/>
      </w:pPr>
      <w:r>
        <w:tab/>
      </w:r>
    </w:p>
    <w:p w:rsidR="00F82651" w:rsidRDefault="00346CB0" w:rsidP="00F82651">
      <w:pPr>
        <w:pStyle w:val="Akapitzlist"/>
        <w:tabs>
          <w:tab w:val="left" w:pos="8178"/>
        </w:tabs>
        <w:spacing w:after="0"/>
        <w:contextualSpacing w:val="0"/>
        <w:jc w:val="right"/>
      </w:pPr>
      <w:r w:rsidRPr="00AF0300">
        <w:t xml:space="preserve">Załącznik Nr </w:t>
      </w:r>
      <w:r w:rsidR="001E0E56" w:rsidRPr="00AF0300">
        <w:t>9</w:t>
      </w:r>
    </w:p>
    <w:p w:rsidR="00346CB0" w:rsidRDefault="00346CB0" w:rsidP="00F82651">
      <w:pPr>
        <w:pStyle w:val="Akapitzlist"/>
        <w:tabs>
          <w:tab w:val="left" w:pos="8178"/>
        </w:tabs>
        <w:spacing w:after="0"/>
        <w:contextualSpacing w:val="0"/>
        <w:jc w:val="right"/>
      </w:pPr>
      <w:r w:rsidRPr="00AF0300">
        <w:t xml:space="preserve">do Umowy Operacyjnej </w:t>
      </w:r>
      <w:bookmarkStart w:id="0" w:name="_GoBack"/>
      <w:bookmarkEnd w:id="0"/>
      <w:r w:rsidR="00AF0300" w:rsidRPr="00AF0300">
        <w:t xml:space="preserve"> nr ……</w:t>
      </w:r>
    </w:p>
    <w:p w:rsidR="00F82651" w:rsidRPr="00F82651" w:rsidRDefault="00F82651" w:rsidP="00F82651">
      <w:pPr>
        <w:pStyle w:val="Akapitzlist"/>
        <w:tabs>
          <w:tab w:val="left" w:pos="8178"/>
        </w:tabs>
        <w:contextualSpacing w:val="0"/>
        <w:jc w:val="right"/>
      </w:pPr>
      <w:r w:rsidRPr="00F82651">
        <w:rPr>
          <w:bCs/>
        </w:rPr>
        <w:t>(Regionalne poręczenia zapłaty wadium dla MŚP)</w:t>
      </w:r>
    </w:p>
    <w:p w:rsidR="00F82651" w:rsidRPr="00AF0300" w:rsidRDefault="00F82651" w:rsidP="00F82651">
      <w:pPr>
        <w:pStyle w:val="Akapitzlist"/>
        <w:tabs>
          <w:tab w:val="left" w:pos="8178"/>
        </w:tabs>
        <w:spacing w:after="0"/>
        <w:contextualSpacing w:val="0"/>
        <w:jc w:val="right"/>
      </w:pPr>
    </w:p>
    <w:p w:rsidR="00346CB0" w:rsidRDefault="00346CB0" w:rsidP="000248A4">
      <w:pPr>
        <w:pStyle w:val="Akapitzlist"/>
        <w:spacing w:after="0"/>
        <w:ind w:left="0"/>
        <w:contextualSpacing w:val="0"/>
        <w:jc w:val="center"/>
        <w:rPr>
          <w:b/>
        </w:rPr>
      </w:pPr>
    </w:p>
    <w:p w:rsidR="0057779D" w:rsidRPr="0057779D" w:rsidRDefault="00A543DB" w:rsidP="0057779D">
      <w:pPr>
        <w:pStyle w:val="Akapitzlist"/>
        <w:spacing w:after="0"/>
        <w:jc w:val="center"/>
        <w:rPr>
          <w:b/>
        </w:rPr>
      </w:pPr>
      <w:r w:rsidRPr="00F854F4">
        <w:rPr>
          <w:b/>
        </w:rPr>
        <w:t xml:space="preserve">Karta Produktu </w:t>
      </w:r>
      <w:r w:rsidR="0057779D" w:rsidRPr="0057779D">
        <w:rPr>
          <w:b/>
          <w:bCs/>
        </w:rPr>
        <w:t>Regionalne poręczenia</w:t>
      </w:r>
      <w:r w:rsidR="00C23EC1">
        <w:rPr>
          <w:b/>
          <w:bCs/>
        </w:rPr>
        <w:t xml:space="preserve"> zapłaty wadium</w:t>
      </w:r>
      <w:r w:rsidR="0057779D" w:rsidRPr="0057779D">
        <w:rPr>
          <w:b/>
          <w:bCs/>
        </w:rPr>
        <w:t xml:space="preserve"> dla MŚP</w:t>
      </w:r>
    </w:p>
    <w:p w:rsidR="005F3EAE" w:rsidRDefault="005F3EAE" w:rsidP="000248A4">
      <w:pPr>
        <w:pStyle w:val="Akapitzlist"/>
        <w:spacing w:after="0"/>
        <w:ind w:left="0"/>
        <w:contextualSpacing w:val="0"/>
        <w:jc w:val="center"/>
        <w:rPr>
          <w:b/>
        </w:rPr>
      </w:pPr>
    </w:p>
    <w:p w:rsidR="000248A4" w:rsidRPr="00F854F4" w:rsidRDefault="000248A4" w:rsidP="000248A4">
      <w:pPr>
        <w:pStyle w:val="Akapitzlist"/>
        <w:spacing w:after="0"/>
        <w:ind w:left="0"/>
        <w:contextualSpacing w:val="0"/>
        <w:jc w:val="center"/>
        <w:rPr>
          <w:b/>
        </w:rPr>
      </w:pPr>
    </w:p>
    <w:p w:rsidR="007678C3" w:rsidRPr="0057779D" w:rsidRDefault="007678C3" w:rsidP="0057779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b/>
        </w:rPr>
      </w:pPr>
      <w:r w:rsidRPr="00F854F4">
        <w:rPr>
          <w:b/>
        </w:rPr>
        <w:t xml:space="preserve">Podstawowe parametry </w:t>
      </w:r>
      <w:r w:rsidR="0057779D" w:rsidRPr="0057779D">
        <w:rPr>
          <w:b/>
          <w:bCs/>
        </w:rPr>
        <w:t>Regionalne</w:t>
      </w:r>
      <w:r w:rsidR="0057779D">
        <w:rPr>
          <w:b/>
          <w:bCs/>
        </w:rPr>
        <w:t>go</w:t>
      </w:r>
      <w:r w:rsidR="0057779D" w:rsidRPr="0057779D">
        <w:rPr>
          <w:b/>
          <w:bCs/>
        </w:rPr>
        <w:t xml:space="preserve"> poręczenia </w:t>
      </w:r>
      <w:r w:rsidR="00C23EC1">
        <w:rPr>
          <w:b/>
          <w:bCs/>
        </w:rPr>
        <w:t xml:space="preserve">zapłaty wadium </w:t>
      </w:r>
      <w:r w:rsidR="0057779D" w:rsidRPr="0057779D">
        <w:rPr>
          <w:b/>
          <w:bCs/>
        </w:rPr>
        <w:t>dla MŚP</w:t>
      </w:r>
    </w:p>
    <w:p w:rsidR="00C23EC1" w:rsidRPr="00C23EC1" w:rsidRDefault="00C23EC1" w:rsidP="00C23EC1">
      <w:pPr>
        <w:pStyle w:val="Defaul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23EC1">
        <w:rPr>
          <w:rFonts w:asciiTheme="minorHAnsi" w:hAnsiTheme="minorHAnsi" w:cstheme="minorHAnsi"/>
          <w:color w:val="auto"/>
          <w:sz w:val="22"/>
          <w:szCs w:val="22"/>
        </w:rPr>
        <w:t xml:space="preserve">Wartość Regionalnego poręczenia zapłaty wadium dla MŚP nie może być wyższa niż </w:t>
      </w:r>
      <w:r w:rsidRPr="00C23EC1">
        <w:rPr>
          <w:rFonts w:asciiTheme="minorHAnsi" w:hAnsiTheme="minorHAnsi" w:cstheme="minorHAnsi"/>
          <w:bCs/>
          <w:color w:val="auto"/>
          <w:sz w:val="22"/>
          <w:szCs w:val="22"/>
        </w:rPr>
        <w:t>1.000.000,00 zł</w:t>
      </w:r>
      <w:r w:rsidRPr="00C23EC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23EC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:rsidR="00C23EC1" w:rsidRPr="00C23EC1" w:rsidRDefault="00C23EC1" w:rsidP="00C23EC1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695"/>
        </w:tabs>
        <w:spacing w:before="0" w:line="307" w:lineRule="exact"/>
        <w:ind w:right="20"/>
        <w:jc w:val="both"/>
      </w:pPr>
      <w:r w:rsidRPr="00C23EC1">
        <w:t xml:space="preserve">Stopa Regionalnego poręczenia zapłaty wadium dla MŚP wynosi </w:t>
      </w:r>
      <w:r w:rsidRPr="00C23EC1">
        <w:rPr>
          <w:b/>
        </w:rPr>
        <w:t>100%</w:t>
      </w:r>
      <w:r w:rsidRPr="00C23EC1">
        <w:t xml:space="preserve"> wymaganego wadium.</w:t>
      </w:r>
    </w:p>
    <w:p w:rsidR="00C23EC1" w:rsidRPr="00C23EC1" w:rsidRDefault="00C23EC1" w:rsidP="00C23EC1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715"/>
        </w:tabs>
        <w:spacing w:before="0" w:line="307" w:lineRule="exact"/>
        <w:ind w:right="20"/>
        <w:jc w:val="both"/>
      </w:pPr>
      <w:r w:rsidRPr="00C23EC1">
        <w:t>Regionalne poręczenie zapłaty wadium dla MŚP jest terminowe i udzielane jest na okres związania ofertą wynikający z warunków postępowania o udzielenie zamówienia publicznego, jednak nie dłuższy niż 90 dni.</w:t>
      </w:r>
    </w:p>
    <w:p w:rsidR="00C23EC1" w:rsidRPr="00C23EC1" w:rsidRDefault="00C23EC1" w:rsidP="00C23EC1">
      <w:pPr>
        <w:pStyle w:val="Teksttreci0"/>
        <w:widowControl w:val="0"/>
        <w:numPr>
          <w:ilvl w:val="0"/>
          <w:numId w:val="27"/>
        </w:numPr>
        <w:shd w:val="clear" w:color="auto" w:fill="auto"/>
        <w:tabs>
          <w:tab w:val="left" w:pos="715"/>
        </w:tabs>
        <w:spacing w:before="0" w:line="307" w:lineRule="exact"/>
        <w:ind w:right="20"/>
        <w:jc w:val="both"/>
      </w:pPr>
      <w:r w:rsidRPr="00C23EC1">
        <w:rPr>
          <w:rFonts w:asciiTheme="minorHAnsi" w:hAnsiTheme="minorHAnsi" w:cstheme="minorHAnsi"/>
        </w:rPr>
        <w:t>Przedsięwzięcie realizowane w ramach Regionalnego poręczenia zapłaty wadium dla MŚP musi być zlokalizowane na terenie Polski.</w:t>
      </w:r>
    </w:p>
    <w:p w:rsidR="001465A3" w:rsidRPr="00F854F4" w:rsidRDefault="001465A3" w:rsidP="007A7267">
      <w:pPr>
        <w:pStyle w:val="Akapitzlist"/>
        <w:spacing w:after="0"/>
        <w:ind w:left="0"/>
        <w:contextualSpacing w:val="0"/>
        <w:jc w:val="both"/>
        <w:rPr>
          <w:b/>
        </w:rPr>
      </w:pPr>
    </w:p>
    <w:p w:rsidR="001465A3" w:rsidRPr="0091372E" w:rsidRDefault="00FD1A3D" w:rsidP="0091372E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jc w:val="both"/>
        <w:rPr>
          <w:b/>
        </w:rPr>
      </w:pPr>
      <w:r w:rsidRPr="0091372E">
        <w:rPr>
          <w:b/>
        </w:rPr>
        <w:t>Z</w:t>
      </w:r>
      <w:r w:rsidR="005F3EAE" w:rsidRPr="0091372E">
        <w:rPr>
          <w:b/>
        </w:rPr>
        <w:t>asady dotyczące</w:t>
      </w:r>
      <w:r w:rsidR="001465A3" w:rsidRPr="0091372E">
        <w:rPr>
          <w:b/>
        </w:rPr>
        <w:t xml:space="preserve"> udzielania</w:t>
      </w:r>
      <w:r w:rsidR="00417A9B" w:rsidRPr="0091372E">
        <w:rPr>
          <w:b/>
        </w:rPr>
        <w:t xml:space="preserve"> i udokumentowania</w:t>
      </w:r>
      <w:r w:rsidR="001465A3" w:rsidRPr="0091372E">
        <w:rPr>
          <w:b/>
        </w:rPr>
        <w:t xml:space="preserve"> </w:t>
      </w:r>
      <w:r w:rsidR="00FE1DFA" w:rsidRPr="0091372E">
        <w:rPr>
          <w:b/>
        </w:rPr>
        <w:t>Regionalnego poręczenia</w:t>
      </w:r>
      <w:r w:rsidR="00D05506">
        <w:rPr>
          <w:b/>
        </w:rPr>
        <w:t xml:space="preserve"> zapłaty wadium</w:t>
      </w:r>
      <w:r w:rsidR="00FB7094" w:rsidRPr="0091372E">
        <w:rPr>
          <w:b/>
        </w:rPr>
        <w:t xml:space="preserve"> dla MŚP</w:t>
      </w:r>
    </w:p>
    <w:p w:rsidR="0091372E" w:rsidRPr="0091372E" w:rsidRDefault="0091372E" w:rsidP="0091372E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1372E">
        <w:rPr>
          <w:rFonts w:asciiTheme="minorHAnsi" w:hAnsiTheme="minorHAnsi" w:cstheme="minorHAnsi"/>
          <w:color w:val="auto"/>
          <w:sz w:val="22"/>
          <w:szCs w:val="22"/>
        </w:rPr>
        <w:t xml:space="preserve">Udzielenie Regionalnego poręczenia </w:t>
      </w:r>
      <w:r w:rsidR="00C23EC1">
        <w:rPr>
          <w:rFonts w:asciiTheme="minorHAnsi" w:hAnsiTheme="minorHAnsi" w:cstheme="minorHAnsi"/>
          <w:color w:val="auto"/>
          <w:sz w:val="22"/>
          <w:szCs w:val="22"/>
        </w:rPr>
        <w:t xml:space="preserve">zapłaty wadium </w:t>
      </w:r>
      <w:r w:rsidRPr="0091372E">
        <w:rPr>
          <w:rFonts w:asciiTheme="minorHAnsi" w:hAnsiTheme="minorHAnsi" w:cstheme="minorHAnsi"/>
          <w:color w:val="auto"/>
          <w:sz w:val="22"/>
          <w:szCs w:val="22"/>
        </w:rPr>
        <w:t xml:space="preserve">dla MŚP nie może być uzależnione od zawarcia przez Ostatecznego Odbiorcę dodatkowych umów (w szczególności dotyczących zakupu dodatkowych usług, produktów finansowych lub ubezpieczeniowych) z Pośrednikiem Finansowym lub podmiotem partnerskim lub powiązanym w stosunku do Pośrednika Finansowego; powyższe nie dotyczy powszechnie występujących na rynku oraz standardowo stosowanych przez Pośrednika Finansowego zabezpieczeń ustanawianych przez Ostatecznego Odbiorcę na rzecz Pośrednika Finansowego w związku z zawieraną umową Regionalnego poręczenia </w:t>
      </w:r>
      <w:r w:rsidR="00C23EC1">
        <w:rPr>
          <w:rFonts w:asciiTheme="minorHAnsi" w:hAnsiTheme="minorHAnsi" w:cstheme="minorHAnsi"/>
          <w:color w:val="auto"/>
          <w:sz w:val="22"/>
          <w:szCs w:val="22"/>
        </w:rPr>
        <w:t xml:space="preserve">zapłaty </w:t>
      </w:r>
      <w:r w:rsidRPr="0091372E">
        <w:rPr>
          <w:rFonts w:asciiTheme="minorHAnsi" w:hAnsiTheme="minorHAnsi" w:cstheme="minorHAnsi"/>
          <w:color w:val="auto"/>
          <w:sz w:val="22"/>
          <w:szCs w:val="22"/>
        </w:rPr>
        <w:t xml:space="preserve">dla MŚP z zastrzeżeniem, iż w przypadku zabezpieczenia takiego jak „cesja praw z polisy ubezpieczeniowej” Ostateczny Odbiorca ma możliwość wyboru oferty spośród ubezpieczycieli dostępnych na rynku. </w:t>
      </w:r>
    </w:p>
    <w:p w:rsidR="0091372E" w:rsidRPr="0091372E" w:rsidRDefault="0091372E" w:rsidP="0091372E">
      <w:pPr>
        <w:pStyle w:val="Default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372E">
        <w:rPr>
          <w:rFonts w:asciiTheme="minorHAnsi" w:hAnsiTheme="minorHAnsi" w:cstheme="minorHAnsi"/>
          <w:color w:val="auto"/>
          <w:sz w:val="22"/>
          <w:szCs w:val="22"/>
        </w:rPr>
        <w:t>Wymagane jest potwierdzenie prawidłowości udzielenia każdego Jednostkowego Poręczenia.</w:t>
      </w:r>
    </w:p>
    <w:p w:rsidR="000248A4" w:rsidRDefault="000248A4" w:rsidP="000248A4">
      <w:pPr>
        <w:pStyle w:val="Akapitzlist"/>
        <w:spacing w:after="0"/>
        <w:ind w:left="0"/>
        <w:contextualSpacing w:val="0"/>
        <w:jc w:val="both"/>
        <w:rPr>
          <w:b/>
        </w:rPr>
      </w:pPr>
    </w:p>
    <w:p w:rsidR="005D1585" w:rsidRDefault="005D1585" w:rsidP="000248A4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jc w:val="both"/>
        <w:rPr>
          <w:b/>
        </w:rPr>
      </w:pPr>
      <w:r>
        <w:rPr>
          <w:b/>
        </w:rPr>
        <w:t>Cesja wierzytelności i zabezpieczeń</w:t>
      </w:r>
    </w:p>
    <w:p w:rsidR="005D1585" w:rsidRDefault="0091372E" w:rsidP="000248A4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Ostateczny Odbiorca</w:t>
      </w:r>
      <w:r w:rsidR="005D1585">
        <w:t xml:space="preserve"> przyjmuje do wiadomości, że </w:t>
      </w:r>
      <w:r>
        <w:t>Pośrednik Finansowy</w:t>
      </w:r>
      <w:r w:rsidR="005D1585">
        <w:t xml:space="preserve"> dokonał przelewu na rzecz </w:t>
      </w:r>
      <w:r w:rsidR="00622CCB">
        <w:t>Województwa Warmińsko-Mazurskiego</w:t>
      </w:r>
      <w:r w:rsidR="005D1585">
        <w:t xml:space="preserve"> wierzytelności </w:t>
      </w:r>
      <w:r>
        <w:t>Pośrednika Finansowego z tytułu zawartej przez Ostatecznego Odbiorcę</w:t>
      </w:r>
      <w:r w:rsidR="005D1585">
        <w:t xml:space="preserve"> umowy p</w:t>
      </w:r>
      <w:r>
        <w:t>oręczenia</w:t>
      </w:r>
      <w:r w:rsidR="005D1585">
        <w:t xml:space="preserve"> oraz ustanowionych przez niego zabezpieczeń.</w:t>
      </w:r>
    </w:p>
    <w:p w:rsidR="005D1585" w:rsidRDefault="0091372E" w:rsidP="000248A4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Przelew wierzytelności Ostatecznego Odbiorcy</w:t>
      </w:r>
      <w:r w:rsidR="005D1585">
        <w:t xml:space="preserve"> na rzecz </w:t>
      </w:r>
      <w:r w:rsidR="00622CCB">
        <w:t>Województwa Warmińsko-Mazurskiego</w:t>
      </w:r>
      <w:r w:rsidR="005D1585">
        <w:t xml:space="preserve"> dokonany został z</w:t>
      </w:r>
      <w:r w:rsidR="00C36827">
        <w:t> </w:t>
      </w:r>
      <w:r w:rsidR="005D1585">
        <w:t xml:space="preserve">tzw. warunkiem zawieszającym, tj. skutek prawny tego przelewu, wystąpi z chwilą zajścia okoliczności określonych w umowie zawartej pomiędzy </w:t>
      </w:r>
      <w:r>
        <w:t>Pośrednikiem Finansowym</w:t>
      </w:r>
      <w:r w:rsidR="005D1585">
        <w:t xml:space="preserve"> a </w:t>
      </w:r>
      <w:r w:rsidR="00622CCB">
        <w:t>Województwem Warmińsko-Mazurskim</w:t>
      </w:r>
      <w:r w:rsidR="005D1585">
        <w:t xml:space="preserve">, o czym </w:t>
      </w:r>
      <w:r>
        <w:t>Ostateczny Odbiorca</w:t>
      </w:r>
      <w:r w:rsidR="005D1585">
        <w:t xml:space="preserve"> poinformowany zostanie przez P</w:t>
      </w:r>
      <w:r>
        <w:t>ośrednika Finansowego</w:t>
      </w:r>
      <w:r w:rsidR="005D1585">
        <w:t xml:space="preserve"> lub </w:t>
      </w:r>
      <w:r w:rsidR="005D1585" w:rsidRPr="00D6531C">
        <w:t xml:space="preserve">przez </w:t>
      </w:r>
      <w:r w:rsidR="00D6531C" w:rsidRPr="00D6531C">
        <w:t>Województwo Warmińsko-Mazurskie</w:t>
      </w:r>
      <w:r w:rsidR="00A11AF5">
        <w:t xml:space="preserve"> lub Warmińsko-Mazurską Agencje Rozwoju Regionalnego S.A. w Olsztynie działającą w imieniu ni na rzecz Województwa,</w:t>
      </w:r>
      <w:r w:rsidR="005D1585">
        <w:t xml:space="preserve"> w drodze pisemnej.</w:t>
      </w:r>
    </w:p>
    <w:p w:rsidR="005D1585" w:rsidRPr="005D1585" w:rsidRDefault="006A640C" w:rsidP="000248A4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Województwo Warmińsko-Mazurskie</w:t>
      </w:r>
      <w:r w:rsidR="005D1585">
        <w:t xml:space="preserve"> ma prawo do dokonania dalszych przelewów wymienionych powyżej wierzytelności wraz z zabezpieczeniami na inny podmiot.</w:t>
      </w:r>
    </w:p>
    <w:p w:rsidR="005D1585" w:rsidRPr="00F854F4" w:rsidRDefault="005D1585" w:rsidP="000248A4">
      <w:pPr>
        <w:pStyle w:val="Akapitzlist"/>
        <w:spacing w:after="0"/>
        <w:ind w:left="0"/>
        <w:contextualSpacing w:val="0"/>
        <w:jc w:val="both"/>
        <w:rPr>
          <w:b/>
        </w:rPr>
      </w:pPr>
    </w:p>
    <w:p w:rsidR="00EC07BB" w:rsidRPr="007A7267" w:rsidRDefault="00EC07BB" w:rsidP="000248A4">
      <w:pPr>
        <w:pStyle w:val="Akapitzlist"/>
        <w:keepNext/>
        <w:numPr>
          <w:ilvl w:val="0"/>
          <w:numId w:val="2"/>
        </w:numPr>
        <w:spacing w:after="0"/>
        <w:contextualSpacing w:val="0"/>
        <w:jc w:val="both"/>
        <w:rPr>
          <w:b/>
        </w:rPr>
      </w:pPr>
      <w:r w:rsidRPr="007A7267">
        <w:rPr>
          <w:b/>
        </w:rPr>
        <w:lastRenderedPageBreak/>
        <w:t>Przeznaczenie finansowania (Cele Inwestycji)</w:t>
      </w:r>
    </w:p>
    <w:p w:rsidR="0091372E" w:rsidRPr="00C23EC1" w:rsidRDefault="0091372E" w:rsidP="0091372E">
      <w:pPr>
        <w:pStyle w:val="Defaul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372E">
        <w:rPr>
          <w:rFonts w:asciiTheme="minorHAnsi" w:hAnsiTheme="minorHAnsi" w:cstheme="minorHAnsi"/>
          <w:sz w:val="22"/>
          <w:szCs w:val="22"/>
        </w:rPr>
        <w:t>Regionalne poręczenie</w:t>
      </w:r>
      <w:r w:rsidR="00C23EC1">
        <w:rPr>
          <w:rFonts w:asciiTheme="minorHAnsi" w:hAnsiTheme="minorHAnsi" w:cstheme="minorHAnsi"/>
          <w:sz w:val="22"/>
          <w:szCs w:val="22"/>
        </w:rPr>
        <w:t xml:space="preserve"> zapłaty w</w:t>
      </w:r>
      <w:r w:rsidR="00C23EC1" w:rsidRPr="00C23EC1">
        <w:rPr>
          <w:rFonts w:asciiTheme="minorHAnsi" w:hAnsiTheme="minorHAnsi" w:cstheme="minorHAnsi"/>
          <w:sz w:val="22"/>
          <w:szCs w:val="22"/>
        </w:rPr>
        <w:t xml:space="preserve">adium </w:t>
      </w:r>
      <w:r w:rsidRPr="00C23EC1">
        <w:rPr>
          <w:rFonts w:asciiTheme="minorHAnsi" w:hAnsiTheme="minorHAnsi" w:cstheme="minorHAnsi"/>
          <w:sz w:val="22"/>
          <w:szCs w:val="22"/>
        </w:rPr>
        <w:t xml:space="preserve">dla MŚP </w:t>
      </w:r>
      <w:r w:rsidR="00C23EC1" w:rsidRPr="00C23EC1">
        <w:rPr>
          <w:rFonts w:asciiTheme="minorHAnsi" w:hAnsiTheme="minorHAnsi" w:cstheme="minorHAnsi"/>
          <w:sz w:val="22"/>
          <w:szCs w:val="22"/>
        </w:rPr>
        <w:t>musi skutkować wzrostem konkurencyjności oraz wzmocnieniem potencjału inwestycyjnego firm poprzez ułatwienie przedsiębiorstwom, które nie posiadają wystarczających zabezpieczeń lub zabezpieczeń  wymaganych w postępowaniach o udzielenie zamówienia publicznego</w:t>
      </w:r>
      <w:r w:rsidRPr="00C23EC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0F0392" w:rsidRPr="00174500" w:rsidRDefault="000F0392" w:rsidP="007A7267">
      <w:pPr>
        <w:spacing w:after="0"/>
        <w:jc w:val="both"/>
      </w:pPr>
    </w:p>
    <w:p w:rsidR="00614CDD" w:rsidRPr="006B26B1" w:rsidRDefault="00614CDD" w:rsidP="009B7A27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jc w:val="both"/>
        <w:rPr>
          <w:b/>
        </w:rPr>
      </w:pPr>
      <w:r w:rsidRPr="006B26B1">
        <w:rPr>
          <w:b/>
        </w:rPr>
        <w:t>Wykluczenia z finansowania</w:t>
      </w:r>
    </w:p>
    <w:p w:rsidR="00C23EC1" w:rsidRPr="00C23EC1" w:rsidRDefault="00C23EC1" w:rsidP="00C23EC1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theme="minorHAnsi"/>
        </w:rPr>
      </w:pPr>
      <w:r w:rsidRPr="00C23EC1">
        <w:rPr>
          <w:rFonts w:cstheme="minorHAnsi"/>
        </w:rPr>
        <w:t>Zamówienia objęte Regionalnym poręczeniem zapłaty wadium dla MŚP nie mogą być przeznaczone na: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 xml:space="preserve">realizację inwestycji niezwiązanych bezpośrednio z Celem Inwestycji określonym w pkt. </w:t>
      </w:r>
      <w:r w:rsidR="00F14477">
        <w:rPr>
          <w:rFonts w:cstheme="minorHAnsi"/>
        </w:rPr>
        <w:t>I</w:t>
      </w:r>
      <w:r w:rsidRPr="00C23EC1">
        <w:rPr>
          <w:rFonts w:cstheme="minorHAnsi"/>
        </w:rPr>
        <w:t>V,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działalności w zakresie wytwarzania, przetwórstwa lub wprowadzania do obrotu przez producenta lub importera tytoniu i wyrobów tytoniowych,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działalności w zakresie produkcji lub wprowadzania do obrotu przez producenta lub importera treści pornograficznych,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działalności w zakresie obrotu materiałami wybuchowymi, bronią i amunicją,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działalności w zakresie gier losowych, zakładów wzajemnych, gier na automatach i gier na automatach o niskich wygranych,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działalności w zakresie produkcji lub wprowadzania do obrotu przez producenta lub importera środków odurzających, substancji psychotropowych lub prekursorów,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likwidacji lub budowy elektrowni jądrowych,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inwestycji na rzecz redukcji emisji gazów cieplarnianych pochodzących z listy działań wymienionych w załączniku I do dyrektywy 2003/87/WE,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inwestycji w infrastrukturę portów lotniczych, chyba że są one związane z ochroną środowiska lub towarzyszą im inwestycje niezbędne do łagodzenia lub ograniczenia ich negatywnego oddziaływania na środowisko,</w:t>
      </w:r>
    </w:p>
    <w:p w:rsidR="00C23EC1" w:rsidRPr="00C23EC1" w:rsidRDefault="00C23EC1" w:rsidP="00C23EC1">
      <w:pPr>
        <w:pStyle w:val="Akapitzlist"/>
        <w:numPr>
          <w:ilvl w:val="0"/>
          <w:numId w:val="38"/>
        </w:numPr>
        <w:spacing w:after="0" w:line="240" w:lineRule="auto"/>
        <w:ind w:left="1560"/>
        <w:jc w:val="both"/>
        <w:rPr>
          <w:rFonts w:cstheme="minorHAnsi"/>
        </w:rPr>
      </w:pPr>
      <w:r w:rsidRPr="00C23EC1">
        <w:rPr>
          <w:rFonts w:cstheme="minorHAnsi"/>
        </w:rPr>
        <w:t>realizację zamówień związanych z finansowaniem przedsięwzięć realizowanych przez podmioty znajdujące się na l</w:t>
      </w:r>
      <w:r w:rsidRPr="00C23EC1">
        <w:rPr>
          <w:rFonts w:cstheme="minorHAnsi"/>
          <w:bCs/>
        </w:rPr>
        <w:t>iście osób i podmiotów objętych sankcjami w związku z wojną w Ukrainie, zamieszczonej na stronie Ministerstwa Spraw Wewnętrznych i Administracji.</w:t>
      </w:r>
    </w:p>
    <w:p w:rsidR="00EC07BB" w:rsidRPr="00B06F32" w:rsidRDefault="00EC07BB" w:rsidP="007A7267">
      <w:pPr>
        <w:spacing w:after="120"/>
        <w:jc w:val="both"/>
      </w:pPr>
    </w:p>
    <w:p w:rsidR="00C94198" w:rsidRPr="00F854F4" w:rsidRDefault="00C94198" w:rsidP="000248A4">
      <w:pPr>
        <w:pStyle w:val="Akapitzlist"/>
        <w:numPr>
          <w:ilvl w:val="0"/>
          <w:numId w:val="2"/>
        </w:numPr>
        <w:spacing w:after="0"/>
        <w:ind w:left="426" w:hanging="426"/>
        <w:contextualSpacing w:val="0"/>
        <w:jc w:val="both"/>
        <w:rPr>
          <w:b/>
        </w:rPr>
      </w:pPr>
      <w:r w:rsidRPr="00F854F4">
        <w:rPr>
          <w:b/>
        </w:rPr>
        <w:t>Ograniczenia w finansowaniu</w:t>
      </w:r>
    </w:p>
    <w:p w:rsidR="00F14477" w:rsidRPr="00F14477" w:rsidRDefault="00F14477" w:rsidP="00F14477">
      <w:pPr>
        <w:pStyle w:val="Akapitzlist"/>
        <w:numPr>
          <w:ilvl w:val="0"/>
          <w:numId w:val="39"/>
        </w:numPr>
        <w:spacing w:after="0"/>
        <w:ind w:left="709" w:hanging="357"/>
        <w:jc w:val="both"/>
        <w:rPr>
          <w:rFonts w:cstheme="minorHAnsi"/>
        </w:rPr>
      </w:pPr>
      <w:r w:rsidRPr="00F14477">
        <w:rPr>
          <w:rFonts w:cstheme="minorHAnsi"/>
        </w:rPr>
        <w:t xml:space="preserve">Jeden Ostateczny Odbiorca może otrzymać w ramach przyznanego Limitu Regionalnego poręczenia zapłaty wadium dla MŚP więcej niż jedno Regionalne poręczenie dla MŚP. Łączna wartość Regionalnych poręczeń zapłaty wadium dla MŚP udzielonych jednemu Ostatecznemu Odbiorcy w ramach Umowy  Operacyjnej nie może przekroczyć 1.000.000,00 zł. </w:t>
      </w:r>
    </w:p>
    <w:p w:rsidR="005F3EAE" w:rsidRPr="00F854F4" w:rsidRDefault="005F3EAE" w:rsidP="007A7267">
      <w:pPr>
        <w:spacing w:after="120"/>
        <w:ind w:left="426" w:hanging="426"/>
        <w:jc w:val="both"/>
        <w:rPr>
          <w:b/>
          <w:highlight w:val="yellow"/>
        </w:rPr>
      </w:pPr>
    </w:p>
    <w:p w:rsidR="007A7267" w:rsidRPr="007A7267" w:rsidRDefault="007A7267" w:rsidP="009B7A27">
      <w:pPr>
        <w:pStyle w:val="Default"/>
        <w:numPr>
          <w:ilvl w:val="0"/>
          <w:numId w:val="19"/>
        </w:numPr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A72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Preferencje </w:t>
      </w:r>
    </w:p>
    <w:p w:rsidR="00F14477" w:rsidRPr="00F14477" w:rsidRDefault="00F14477" w:rsidP="00F14477">
      <w:pPr>
        <w:pStyle w:val="Akapitzlist"/>
        <w:numPr>
          <w:ilvl w:val="0"/>
          <w:numId w:val="47"/>
        </w:numP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F14477">
        <w:rPr>
          <w:rFonts w:cstheme="minorHAnsi"/>
        </w:rPr>
        <w:t xml:space="preserve">Przy udzielaniu przez Pośrednika Finansowego Regionalnych poręczeń zapłaty wadium dla MŚP preferowane będą inwestycje, które wpisuje się w co najmniej jeden z </w:t>
      </w:r>
      <w:r w:rsidRPr="00F14477">
        <w:rPr>
          <w:rFonts w:cstheme="minorHAnsi"/>
          <w:shd w:val="clear" w:color="auto" w:fill="FFFFFF" w:themeFill="background1"/>
        </w:rPr>
        <w:t>następujących</w:t>
      </w:r>
      <w:r w:rsidRPr="00F14477">
        <w:rPr>
          <w:rFonts w:cstheme="minorHAnsi"/>
        </w:rPr>
        <w:t xml:space="preserve"> celów: </w:t>
      </w:r>
    </w:p>
    <w:p w:rsidR="00F14477" w:rsidRPr="00F14477" w:rsidRDefault="00F14477" w:rsidP="00F14477">
      <w:pPr>
        <w:pStyle w:val="Default"/>
        <w:numPr>
          <w:ilvl w:val="0"/>
          <w:numId w:val="28"/>
        </w:numPr>
        <w:shd w:val="clear" w:color="auto" w:fill="FFFFFF" w:themeFill="background1"/>
        <w:spacing w:line="276" w:lineRule="auto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 xml:space="preserve">wykazuje wpływ na rozwój inteligentnych specjalizacji województwa warmińsko-mazurskiego tj.: </w:t>
      </w:r>
    </w:p>
    <w:p w:rsidR="00F14477" w:rsidRDefault="00F14477" w:rsidP="00F14477">
      <w:pPr>
        <w:pStyle w:val="Default"/>
        <w:numPr>
          <w:ilvl w:val="0"/>
          <w:numId w:val="29"/>
        </w:numPr>
        <w:shd w:val="clear" w:color="auto" w:fill="FFFFFF" w:themeFill="background1"/>
        <w:spacing w:line="276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>drewno i meblarstwo,</w:t>
      </w:r>
    </w:p>
    <w:p w:rsidR="00F14477" w:rsidRDefault="00F14477" w:rsidP="00F14477">
      <w:pPr>
        <w:pStyle w:val="Default"/>
        <w:numPr>
          <w:ilvl w:val="0"/>
          <w:numId w:val="29"/>
        </w:numPr>
        <w:shd w:val="clear" w:color="auto" w:fill="FFFFFF" w:themeFill="background1"/>
        <w:spacing w:line="276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 xml:space="preserve">żywność wysokiej jakości, </w:t>
      </w:r>
    </w:p>
    <w:p w:rsidR="00F14477" w:rsidRDefault="00F14477" w:rsidP="00F14477">
      <w:pPr>
        <w:pStyle w:val="Default"/>
        <w:numPr>
          <w:ilvl w:val="0"/>
          <w:numId w:val="29"/>
        </w:numPr>
        <w:shd w:val="clear" w:color="auto" w:fill="FFFFFF" w:themeFill="background1"/>
        <w:spacing w:line="276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>ekonomia wody,</w:t>
      </w:r>
    </w:p>
    <w:p w:rsidR="00F14477" w:rsidRDefault="00F14477" w:rsidP="00F14477">
      <w:pPr>
        <w:pStyle w:val="Default"/>
        <w:numPr>
          <w:ilvl w:val="0"/>
          <w:numId w:val="29"/>
        </w:numPr>
        <w:shd w:val="clear" w:color="auto" w:fill="FFFFFF" w:themeFill="background1"/>
        <w:spacing w:line="276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>zdrowe życie,</w:t>
      </w:r>
    </w:p>
    <w:p w:rsidR="00F14477" w:rsidRPr="00F14477" w:rsidRDefault="00F14477" w:rsidP="00F14477">
      <w:pPr>
        <w:pStyle w:val="Default"/>
        <w:numPr>
          <w:ilvl w:val="0"/>
          <w:numId w:val="29"/>
        </w:numPr>
        <w:shd w:val="clear" w:color="auto" w:fill="FFFFFF" w:themeFill="background1"/>
        <w:spacing w:line="276" w:lineRule="auto"/>
        <w:ind w:left="1134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lastRenderedPageBreak/>
        <w:t>inne obowiązujące na dzień złożenia wniosku o poręczenie inteligentne specjalizacje, przyjęte przez Zarząd Województwa Warmińsko-Mazurskiego.</w:t>
      </w:r>
    </w:p>
    <w:p w:rsidR="00F14477" w:rsidRPr="00F14477" w:rsidRDefault="00F14477" w:rsidP="00F14477">
      <w:pPr>
        <w:pStyle w:val="Default"/>
        <w:shd w:val="clear" w:color="auto" w:fill="FFFFFF" w:themeFill="background1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 xml:space="preserve">Poprzez inwestycje w ramach powyższych inteligentnych specjalizacji należy rozumieć takie, które muszą spełnić co najmniej dwa z poniższych warunków łącznie: </w:t>
      </w:r>
    </w:p>
    <w:p w:rsidR="00F14477" w:rsidRPr="00F14477" w:rsidRDefault="00F14477" w:rsidP="00F14477">
      <w:pPr>
        <w:pStyle w:val="Akapitzlist"/>
        <w:numPr>
          <w:ilvl w:val="0"/>
          <w:numId w:val="13"/>
        </w:numPr>
        <w:shd w:val="clear" w:color="auto" w:fill="FFFFFF" w:themeFill="background1"/>
        <w:spacing w:after="0"/>
        <w:ind w:left="1637"/>
        <w:jc w:val="both"/>
        <w:rPr>
          <w:rFonts w:cstheme="minorHAnsi"/>
          <w:b/>
          <w:u w:val="single"/>
        </w:rPr>
      </w:pPr>
      <w:r w:rsidRPr="00F14477">
        <w:rPr>
          <w:rFonts w:cstheme="minorHAnsi"/>
        </w:rPr>
        <w:t>wpływ na eliminowanie negatywnego wpływu zagrożeń i/lub wpływ na wykorzystanie szans zdiagnozowanych w analizie SWOT dla danej inteligentnej specjalizacji</w:t>
      </w:r>
      <w:r w:rsidRPr="00F14477">
        <w:rPr>
          <w:rStyle w:val="Odwoanieprzypisudolnego"/>
          <w:rFonts w:cstheme="minorHAnsi"/>
        </w:rPr>
        <w:footnoteReference w:id="1"/>
      </w:r>
      <w:r w:rsidRPr="00F14477">
        <w:rPr>
          <w:rFonts w:cstheme="minorHAnsi"/>
        </w:rPr>
        <w:t xml:space="preserve">, </w:t>
      </w:r>
    </w:p>
    <w:p w:rsidR="00F14477" w:rsidRPr="00F14477" w:rsidRDefault="00F14477" w:rsidP="00F14477">
      <w:pPr>
        <w:pStyle w:val="Akapitzlist"/>
        <w:numPr>
          <w:ilvl w:val="0"/>
          <w:numId w:val="13"/>
        </w:numPr>
        <w:shd w:val="clear" w:color="auto" w:fill="FFFFFF" w:themeFill="background1"/>
        <w:spacing w:after="0"/>
        <w:ind w:left="1637"/>
        <w:jc w:val="both"/>
        <w:rPr>
          <w:rFonts w:cstheme="minorHAnsi"/>
          <w:b/>
          <w:u w:val="single"/>
        </w:rPr>
      </w:pPr>
      <w:r w:rsidRPr="00F14477">
        <w:rPr>
          <w:rFonts w:cstheme="minorHAnsi"/>
        </w:rPr>
        <w:t xml:space="preserve">wpływ na wzmocnienie silnych stron i/lub eliminację słabych stron zdiagnozowanych w analizie SWOT dla danej inteligentnej specjalizacji, </w:t>
      </w:r>
    </w:p>
    <w:p w:rsidR="00F14477" w:rsidRPr="00F14477" w:rsidRDefault="00F14477" w:rsidP="00F14477">
      <w:pPr>
        <w:pStyle w:val="Akapitzlist"/>
        <w:numPr>
          <w:ilvl w:val="0"/>
          <w:numId w:val="13"/>
        </w:numPr>
        <w:shd w:val="clear" w:color="auto" w:fill="FFFFFF" w:themeFill="background1"/>
        <w:spacing w:after="0"/>
        <w:ind w:left="1637"/>
        <w:jc w:val="both"/>
        <w:rPr>
          <w:rFonts w:cstheme="minorHAnsi"/>
          <w:b/>
          <w:u w:val="single"/>
        </w:rPr>
      </w:pPr>
      <w:r w:rsidRPr="00F14477">
        <w:rPr>
          <w:rFonts w:cstheme="minorHAnsi"/>
        </w:rPr>
        <w:t xml:space="preserve">dyfuzję wyników projektu na więcej niż jeden podmiot działający w obszarze danej inteligentnej specjalizacji, </w:t>
      </w:r>
    </w:p>
    <w:p w:rsidR="00F14477" w:rsidRPr="00F14477" w:rsidRDefault="00F14477" w:rsidP="00F14477">
      <w:pPr>
        <w:pStyle w:val="Akapitzlist"/>
        <w:numPr>
          <w:ilvl w:val="0"/>
          <w:numId w:val="13"/>
        </w:numPr>
        <w:shd w:val="clear" w:color="auto" w:fill="FFFFFF" w:themeFill="background1"/>
        <w:spacing w:after="0"/>
        <w:ind w:left="1637"/>
        <w:jc w:val="both"/>
        <w:rPr>
          <w:rFonts w:cstheme="minorHAnsi"/>
          <w:b/>
          <w:u w:val="single"/>
        </w:rPr>
      </w:pPr>
      <w:r w:rsidRPr="00F14477">
        <w:rPr>
          <w:rFonts w:cstheme="minorHAnsi"/>
        </w:rPr>
        <w:t>stworzenie w wyniku projektu możliwości eksportowych w ramach danej specjalizacji i/lub generowanie potencjalnego wzrostu współpracy w europejskich łańcuchach wartości,</w:t>
      </w:r>
    </w:p>
    <w:p w:rsidR="00F14477" w:rsidRPr="00F14477" w:rsidRDefault="00F14477" w:rsidP="00F14477">
      <w:pPr>
        <w:pStyle w:val="Akapitzlist"/>
        <w:numPr>
          <w:ilvl w:val="0"/>
          <w:numId w:val="13"/>
        </w:numPr>
        <w:shd w:val="clear" w:color="auto" w:fill="FFFFFF" w:themeFill="background1"/>
        <w:spacing w:after="0"/>
        <w:ind w:left="1637"/>
        <w:jc w:val="both"/>
        <w:rPr>
          <w:rFonts w:cstheme="minorHAnsi"/>
          <w:b/>
          <w:u w:val="single"/>
        </w:rPr>
      </w:pPr>
      <w:r w:rsidRPr="00F14477">
        <w:rPr>
          <w:rFonts w:cstheme="minorHAnsi"/>
        </w:rPr>
        <w:t>wpływ na kreowanie współpracy pomiędzy środowiskiem naukowym, biznesowym, otoczeniem biznesu, administracją w obrębie co najmniej jednej specjalizacji w wyniku realizacji projektu.</w:t>
      </w:r>
    </w:p>
    <w:p w:rsidR="00F14477" w:rsidRPr="00F14477" w:rsidRDefault="00F14477" w:rsidP="00F14477">
      <w:pPr>
        <w:pStyle w:val="Akapitzlist"/>
        <w:numPr>
          <w:ilvl w:val="0"/>
          <w:numId w:val="28"/>
        </w:numPr>
        <w:shd w:val="clear" w:color="auto" w:fill="FFFFFF" w:themeFill="background1"/>
        <w:spacing w:after="0"/>
        <w:ind w:left="1418" w:hanging="425"/>
        <w:jc w:val="both"/>
        <w:rPr>
          <w:rFonts w:cstheme="minorHAnsi"/>
        </w:rPr>
      </w:pPr>
      <w:r w:rsidRPr="00F14477">
        <w:rPr>
          <w:rFonts w:cstheme="minorHAnsi"/>
        </w:rPr>
        <w:t xml:space="preserve">wykazuje wpływ na oszczędność surowców i energii - inwestycja przewiduje działania w obszarze ochrony środowiska mające na celu zmniejszenie zużycia surowców i energii, w tym także wody; Wnioskodawca powinien we wniosku o udzielenie poręczenia opisać i wykazać w liczbach spełnienie tego warunku; należy w ramach prowadzonej działalności gospodarczej porównać stan na moment złożenia wniosku o udzielenie poręczenia i na moment zakończenia realizacji/wdrożenia inwestycji; warunek zostanie spełniony także, jeśli Wnioskodawca wykaże, że inwestycja generuje oszczędność surowców i energii w porównaniu do dotychczasowych rozwiązań stosowanych na rynku; Wnioskodawca do wniosku o udzielenie poręczenia dołącza </w:t>
      </w:r>
      <w:r w:rsidRPr="00F14477">
        <w:rPr>
          <w:rFonts w:cstheme="minorHAnsi"/>
          <w:bCs/>
        </w:rPr>
        <w:t xml:space="preserve">opinię </w:t>
      </w:r>
      <w:r w:rsidRPr="00F14477">
        <w:rPr>
          <w:rFonts w:cstheme="minorHAnsi"/>
        </w:rPr>
        <w:t>wyspecjalizowanej zewnętrznej jednostki potwierdzającą, że inwestycja przyczyni się do oszczędności surowców i energii; ocena spełnienia warunku dokonywana jest na podstawie informacji zawartych we wniosku o udzielenie poręczenia oraz ww. opinii,</w:t>
      </w:r>
    </w:p>
    <w:p w:rsidR="00F14477" w:rsidRPr="00F14477" w:rsidRDefault="00F14477" w:rsidP="00F14477">
      <w:pPr>
        <w:pStyle w:val="Akapitzlist"/>
        <w:numPr>
          <w:ilvl w:val="0"/>
          <w:numId w:val="28"/>
        </w:numPr>
        <w:shd w:val="clear" w:color="auto" w:fill="FFFFFF" w:themeFill="background1"/>
        <w:spacing w:after="0"/>
        <w:ind w:left="1418" w:hanging="425"/>
        <w:jc w:val="both"/>
        <w:rPr>
          <w:rFonts w:cstheme="minorHAnsi"/>
        </w:rPr>
      </w:pPr>
      <w:r w:rsidRPr="00F14477">
        <w:rPr>
          <w:rFonts w:cstheme="minorHAnsi"/>
        </w:rPr>
        <w:t xml:space="preserve">wykazuje wpływ na oszczędność emisji szkodliwych gazów do środowiska - inwestycja przewiduje działania w obszarze ochrony środowiska mające na celu zmniejszenie </w:t>
      </w:r>
      <w:r w:rsidRPr="00F14477">
        <w:rPr>
          <w:rFonts w:cstheme="minorHAnsi"/>
          <w:bCs/>
        </w:rPr>
        <w:t>emisji szkodliwych gazów do środowiska</w:t>
      </w:r>
      <w:r w:rsidRPr="00F14477">
        <w:rPr>
          <w:rFonts w:cstheme="minorHAnsi"/>
        </w:rPr>
        <w:t xml:space="preserve">; Wnioskodawca powinien we wniosku o udzielenie poręczenia opisać i wykazać w liczbach spełnienie tego warunku; należy w ramach prowadzonej działalności gospodarczej porównać stan na moment złożenia wniosku o udzielenie poręczenia i na moment zakończenia realizacji/wdrożenia inwestycji; warunek zostanie spełniony także, jeśli Wnioskodawca wykaże, że inwestycja ogranicza emisję szkodliwych gazów do środowiska w porównaniu do dotychczasowych rozwiązań stosowanych na rynku; Wnioskodawca do wniosku o udzielenie poręczenia dołącza </w:t>
      </w:r>
      <w:r w:rsidRPr="00F14477">
        <w:rPr>
          <w:rFonts w:cstheme="minorHAnsi"/>
          <w:bCs/>
        </w:rPr>
        <w:t xml:space="preserve">opinię </w:t>
      </w:r>
      <w:r w:rsidRPr="00F14477">
        <w:rPr>
          <w:rFonts w:cstheme="minorHAnsi"/>
        </w:rPr>
        <w:t>wyspecjalizowanej zewnętrznej jednostki potwierdzającą, że inwestycja przyczyni się do ograniczenia emisji szkodliwych gazów do środowiska; ocena spełnienia warunku dokonywana jest na podstawie informacji zawartych we wniosku o udzielenie poręczenia oraz ww. opinii,</w:t>
      </w:r>
    </w:p>
    <w:p w:rsidR="00F14477" w:rsidRPr="00F14477" w:rsidRDefault="00F14477" w:rsidP="00F14477">
      <w:pPr>
        <w:pStyle w:val="Akapitzlist"/>
        <w:numPr>
          <w:ilvl w:val="0"/>
          <w:numId w:val="28"/>
        </w:numPr>
        <w:shd w:val="clear" w:color="auto" w:fill="FFFFFF" w:themeFill="background1"/>
        <w:spacing w:after="0"/>
        <w:ind w:left="1418" w:hanging="425"/>
        <w:jc w:val="both"/>
        <w:rPr>
          <w:rFonts w:cstheme="minorHAnsi"/>
        </w:rPr>
      </w:pPr>
      <w:r w:rsidRPr="00F14477">
        <w:rPr>
          <w:rFonts w:cstheme="minorHAnsi"/>
        </w:rPr>
        <w:lastRenderedPageBreak/>
        <w:t>wykazuje wpływ na rozwój innowacyjności przedsiębiorstwa - Wnioskodawca we wniosku o udzielenie poręczenia uzasadnia, że udzielone poręczenie wpłynęło na wprowadzenie w przedsiębiorstwie innowacyjnych produktów/usług w skali przedsiębiorstwa,</w:t>
      </w:r>
    </w:p>
    <w:p w:rsidR="00F14477" w:rsidRPr="00F14477" w:rsidRDefault="00F14477" w:rsidP="00F14477">
      <w:pPr>
        <w:pStyle w:val="Akapitzlist"/>
        <w:numPr>
          <w:ilvl w:val="0"/>
          <w:numId w:val="28"/>
        </w:numPr>
        <w:shd w:val="clear" w:color="auto" w:fill="FFFFFF" w:themeFill="background1"/>
        <w:spacing w:after="0"/>
        <w:ind w:left="1418" w:hanging="425"/>
        <w:jc w:val="both"/>
        <w:rPr>
          <w:rFonts w:cstheme="minorHAnsi"/>
        </w:rPr>
      </w:pPr>
      <w:r w:rsidRPr="00F14477">
        <w:rPr>
          <w:rFonts w:cstheme="minorHAnsi"/>
        </w:rPr>
        <w:t>realizowana jest przez podmioty, o których mowa w pkt. IV, działające na rynku nie dłużej niż 3 lata</w:t>
      </w:r>
      <w:r w:rsidRPr="00F14477">
        <w:rPr>
          <w:rStyle w:val="Odwoanieprzypisudolnego"/>
          <w:rFonts w:cstheme="minorHAnsi"/>
        </w:rPr>
        <w:footnoteReference w:id="2"/>
      </w:r>
      <w:r w:rsidRPr="00F14477">
        <w:rPr>
          <w:rFonts w:cstheme="minorHAnsi"/>
        </w:rPr>
        <w:t xml:space="preserve">. Okres ten liczony jest w następujący sposób: 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osób fizycznych – od daty rozpoczęcia wykonywania działalności określonej w Centralnej Ewidencji i Informacji o Działalności Gospodarczej,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spółek cywilnych – od daty zawarcia umowy spółki,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spółek kapitałowych – od daty zawarcia umowy spółki,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pozostałych spółek handlowych – od daty rejestracji w Krajowym Rejestrze Sądowym,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oddziałów przedsiębiorstw zagranicznych – od daty rejestracji w Krajowym Rejestrze Sądowym,</w:t>
      </w:r>
    </w:p>
    <w:p w:rsidR="00F14477" w:rsidRPr="00F14477" w:rsidRDefault="00F14477" w:rsidP="00F14477">
      <w:pPr>
        <w:pStyle w:val="Akapitzlist"/>
        <w:numPr>
          <w:ilvl w:val="0"/>
          <w:numId w:val="30"/>
        </w:numPr>
        <w:shd w:val="clear" w:color="auto" w:fill="FFFFFF" w:themeFill="background1"/>
        <w:spacing w:after="0"/>
        <w:jc w:val="both"/>
        <w:rPr>
          <w:rFonts w:cstheme="minorHAnsi"/>
        </w:rPr>
      </w:pPr>
      <w:r w:rsidRPr="00F14477">
        <w:rPr>
          <w:rFonts w:cstheme="minorHAnsi"/>
        </w:rPr>
        <w:t>dla przedsiębiorstw zagranicznych – od daty zawarcia umowy spółki lub daty rejestracji w odpowiednim rejestrze, w zależności od konstrukcji prawnej przedsiębiorstwa zagranicznego.</w:t>
      </w:r>
    </w:p>
    <w:p w:rsidR="00F14477" w:rsidRDefault="00F14477" w:rsidP="00F14477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240" w:lineRule="auto"/>
        <w:ind w:left="1134"/>
        <w:jc w:val="both"/>
        <w:rPr>
          <w:rFonts w:cstheme="minorHAnsi"/>
        </w:rPr>
      </w:pPr>
      <w:r w:rsidRPr="00F14477">
        <w:rPr>
          <w:rFonts w:cstheme="minorHAnsi"/>
        </w:rPr>
        <w:t xml:space="preserve">realizowana jest na obszarach o niskim poziomie aktywności gospodarczej -  pod uwagę brany jest obszar, na którym realizowana będzie inwestycja; warunek jest spełniony, jeśli inwestycja realizowana będzie na obszarze o niskim poziomie aktywności gospodarczej na poziomie gmin w województwie warmińsko-mazurskim – obszary o niskim poziomie aktywności gospodarczej to obszary, dla których poziom wskaźnika: </w:t>
      </w:r>
      <w:r w:rsidRPr="00F14477">
        <w:rPr>
          <w:rFonts w:cstheme="minorHAnsi"/>
          <w:i/>
          <w:iCs/>
        </w:rPr>
        <w:t xml:space="preserve">podmioty wpisane do rejestru REGON na 10 tys. ludności </w:t>
      </w:r>
      <w:r w:rsidRPr="00F14477">
        <w:rPr>
          <w:rFonts w:cstheme="minorHAnsi"/>
        </w:rPr>
        <w:t>kształtuje się na poziomie poniżej 70% średniej regionalnej,</w:t>
      </w:r>
    </w:p>
    <w:p w:rsidR="00F14477" w:rsidRDefault="00F14477" w:rsidP="00F14477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240" w:lineRule="auto"/>
        <w:ind w:left="1134"/>
        <w:jc w:val="both"/>
        <w:rPr>
          <w:rFonts w:cstheme="minorHAnsi"/>
        </w:rPr>
      </w:pPr>
      <w:r w:rsidRPr="00F14477">
        <w:rPr>
          <w:rFonts w:cstheme="minorHAnsi"/>
        </w:rPr>
        <w:t>realizowana jest na obszarach przygranicznych, tj. na terenie powiatów przygranicznych województwa warmińsko-mazurskiego: bartoszycki, braniewski, gołdapski, kętrzyński, węgorzewski.</w:t>
      </w:r>
    </w:p>
    <w:p w:rsidR="00F14477" w:rsidRDefault="00F14477" w:rsidP="00F14477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240" w:lineRule="auto"/>
        <w:ind w:left="1134"/>
        <w:jc w:val="both"/>
        <w:rPr>
          <w:rFonts w:cstheme="minorHAnsi"/>
        </w:rPr>
      </w:pPr>
      <w:r w:rsidRPr="00F14477">
        <w:rPr>
          <w:rFonts w:cstheme="minorHAnsi"/>
        </w:rPr>
        <w:t xml:space="preserve">realizowana jest na obszarach o wysokiej stopie bezrobocia (w odniesieniu do średniej województwa) – pod uwagę brana jest stopa bezrobocia w powiecie na obszarze województwa warmińsko-mazurskiego, na terenie którego realizowana będzie inwestycja - na podstawie wskaźnika </w:t>
      </w:r>
      <w:r w:rsidRPr="00F14477">
        <w:rPr>
          <w:rFonts w:cstheme="minorHAnsi"/>
          <w:i/>
          <w:iCs/>
        </w:rPr>
        <w:t xml:space="preserve">„Stopa bezrobocia rejestrowanego w %” </w:t>
      </w:r>
      <w:r w:rsidRPr="00F14477">
        <w:rPr>
          <w:rFonts w:cstheme="minorHAnsi"/>
        </w:rPr>
        <w:t>według danych GUS lub Wojewódzkiego Urzędu Pracy w Olsztynie; warunek jest spełniony, jeśli inwestycja będzie realizowana na terenie powiatu o stopie bezrobocia wyższej od średniej stopy bezrobocia dla województwa warmińsko-mazurskiego - według stanu na koniec poprzedniego roku kalendarzowego,</w:t>
      </w:r>
    </w:p>
    <w:p w:rsidR="00F14477" w:rsidRPr="00F14477" w:rsidRDefault="00F14477" w:rsidP="00F14477">
      <w:pPr>
        <w:pStyle w:val="Akapitzlist"/>
        <w:numPr>
          <w:ilvl w:val="0"/>
          <w:numId w:val="46"/>
        </w:numPr>
        <w:shd w:val="clear" w:color="auto" w:fill="FFFFFF" w:themeFill="background1"/>
        <w:spacing w:after="0" w:line="240" w:lineRule="auto"/>
        <w:ind w:left="1134"/>
        <w:jc w:val="both"/>
        <w:rPr>
          <w:rFonts w:cstheme="minorHAnsi"/>
        </w:rPr>
      </w:pPr>
      <w:r w:rsidRPr="00F14477">
        <w:rPr>
          <w:rFonts w:cstheme="minorHAnsi"/>
        </w:rPr>
        <w:t>przyczynia się do tworzenia trwałych miejsc pracy - pod uwagę brany jest planowany w wyniku realizacji inwestycji wzrost zatrudnienia u Wnioskodawcy; inwestycja musi wykazać wzrost zatrudnienia netto, co oznacza, że wzrost zatrudnienia w wyniku realizacji inwestycji może mieć miejsce wyłącznie w przypadku jednoczesnego utrzymania poziomu zatrudnienia wykazanego jako podstawa wyliczenia wzrostu; wzrost zatrudnienia liczony jest po zakończeniu inwestycji, nie później niż w terminie 18 miesięcy licząc od dnia zawarcia umowy poręczenia, w porównaniu do stanu zatrudnienia na moment złożenia wniosku o udzielenie poręczenia; do zatrudnienia wliczane są wszystkie etaty z wyłączeniem:</w:t>
      </w:r>
    </w:p>
    <w:p w:rsidR="00F14477" w:rsidRDefault="00F14477" w:rsidP="00F14477">
      <w:pPr>
        <w:pStyle w:val="Akapitzlist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/>
        <w:ind w:left="1843"/>
        <w:jc w:val="both"/>
        <w:rPr>
          <w:rFonts w:cstheme="minorHAnsi"/>
        </w:rPr>
      </w:pPr>
      <w:r w:rsidRPr="00F14477">
        <w:rPr>
          <w:rFonts w:cstheme="minorHAnsi"/>
        </w:rPr>
        <w:t xml:space="preserve">osób zatrudnionych na podstawie umowy o dzieło lub umowy zlecenia, </w:t>
      </w:r>
    </w:p>
    <w:p w:rsidR="00F14477" w:rsidRDefault="00F14477" w:rsidP="00F14477">
      <w:pPr>
        <w:pStyle w:val="Akapitzlist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/>
        <w:ind w:left="1843"/>
        <w:jc w:val="both"/>
        <w:rPr>
          <w:rFonts w:cstheme="minorHAnsi"/>
        </w:rPr>
      </w:pPr>
      <w:r w:rsidRPr="00F14477">
        <w:rPr>
          <w:rFonts w:cstheme="minorHAnsi"/>
        </w:rPr>
        <w:t xml:space="preserve">osób wykonujących pracę nakładczą, </w:t>
      </w:r>
    </w:p>
    <w:p w:rsidR="00F14477" w:rsidRDefault="00F14477" w:rsidP="00F14477">
      <w:pPr>
        <w:pStyle w:val="Akapitzlist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/>
        <w:ind w:left="1843"/>
        <w:jc w:val="both"/>
        <w:rPr>
          <w:rFonts w:cstheme="minorHAnsi"/>
        </w:rPr>
      </w:pPr>
      <w:r w:rsidRPr="00F14477">
        <w:rPr>
          <w:rFonts w:cstheme="minorHAnsi"/>
        </w:rPr>
        <w:t xml:space="preserve">uczniów, którzy zawarli z firmą umowę o naukę zawodu lub przyuczenie do wykonywania pracy, </w:t>
      </w:r>
    </w:p>
    <w:p w:rsidR="00F14477" w:rsidRPr="00F14477" w:rsidRDefault="00F14477" w:rsidP="00F14477">
      <w:pPr>
        <w:pStyle w:val="Akapitzlist"/>
        <w:numPr>
          <w:ilvl w:val="0"/>
          <w:numId w:val="31"/>
        </w:numPr>
        <w:shd w:val="clear" w:color="auto" w:fill="FFFFFF" w:themeFill="background1"/>
        <w:autoSpaceDE w:val="0"/>
        <w:autoSpaceDN w:val="0"/>
        <w:adjustRightInd w:val="0"/>
        <w:spacing w:after="0"/>
        <w:ind w:left="1843"/>
        <w:jc w:val="both"/>
        <w:rPr>
          <w:rFonts w:cstheme="minorHAnsi"/>
        </w:rPr>
      </w:pPr>
      <w:r w:rsidRPr="00F14477">
        <w:rPr>
          <w:rFonts w:cstheme="minorHAnsi"/>
        </w:rPr>
        <w:t xml:space="preserve">osób korzystających w trakcie ostatnich 12 miesięcy z bezpłatnych urlopów wychowawczych w wymiarze powyżej 3 miesięcy. </w:t>
      </w:r>
    </w:p>
    <w:p w:rsidR="00F14477" w:rsidRPr="00F14477" w:rsidRDefault="00F14477" w:rsidP="00F14477">
      <w:pPr>
        <w:shd w:val="clear" w:color="auto" w:fill="FFFFFF" w:themeFill="background1"/>
        <w:autoSpaceDE w:val="0"/>
        <w:autoSpaceDN w:val="0"/>
        <w:adjustRightInd w:val="0"/>
        <w:ind w:left="1134"/>
        <w:jc w:val="both"/>
        <w:rPr>
          <w:rFonts w:cstheme="minorHAnsi"/>
        </w:rPr>
      </w:pPr>
      <w:r w:rsidRPr="00F14477">
        <w:rPr>
          <w:rFonts w:cstheme="minorHAnsi"/>
        </w:rPr>
        <w:lastRenderedPageBreak/>
        <w:t xml:space="preserve">Warunek jest spełniony, jeśli Wnioskodawca wykaże wzrost zatrudnienia o co najmniej </w:t>
      </w:r>
      <w:r w:rsidRPr="00F14477">
        <w:rPr>
          <w:rFonts w:cstheme="minorHAnsi"/>
          <w:bCs/>
        </w:rPr>
        <w:t xml:space="preserve">1 etat </w:t>
      </w:r>
      <w:r w:rsidRPr="00F14477">
        <w:rPr>
          <w:rFonts w:cstheme="minorHAnsi"/>
        </w:rPr>
        <w:t xml:space="preserve">i utrzymanie wzrostu zatrudnienia przez okres co najmniej </w:t>
      </w:r>
      <w:r w:rsidRPr="00F14477">
        <w:rPr>
          <w:rFonts w:cstheme="minorHAnsi"/>
          <w:bCs/>
        </w:rPr>
        <w:t xml:space="preserve">1 roku </w:t>
      </w:r>
      <w:r w:rsidRPr="00F14477">
        <w:rPr>
          <w:rFonts w:cstheme="minorHAnsi"/>
        </w:rPr>
        <w:t>licząc od daty osiągnięcia wskaźnika wzrostu zatrudnienia. Samozatrudnienie nie spełnia warunku.</w:t>
      </w:r>
    </w:p>
    <w:p w:rsidR="007A7267" w:rsidRPr="007A7267" w:rsidRDefault="007A7267" w:rsidP="00F14477">
      <w:pPr>
        <w:pStyle w:val="Default"/>
        <w:spacing w:line="276" w:lineRule="auto"/>
        <w:ind w:left="851" w:hanging="425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5C057F" w:rsidRPr="007A7267" w:rsidRDefault="005C057F" w:rsidP="009B7A27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  <w:b/>
        </w:rPr>
      </w:pPr>
      <w:r w:rsidRPr="007A7267">
        <w:rPr>
          <w:rFonts w:cstheme="minorHAnsi"/>
          <w:b/>
        </w:rPr>
        <w:t xml:space="preserve">Zasady </w:t>
      </w:r>
      <w:r w:rsidR="00EE07F6" w:rsidRPr="007A7267">
        <w:rPr>
          <w:rFonts w:cstheme="minorHAnsi"/>
          <w:b/>
        </w:rPr>
        <w:t xml:space="preserve">odpłatności za udzielenie </w:t>
      </w:r>
      <w:r w:rsidR="00602B6E">
        <w:rPr>
          <w:rFonts w:cstheme="minorHAnsi"/>
          <w:b/>
        </w:rPr>
        <w:t>Poręczenia</w:t>
      </w:r>
    </w:p>
    <w:p w:rsidR="00F14477" w:rsidRPr="00F14477" w:rsidRDefault="00F14477" w:rsidP="00F14477">
      <w:pPr>
        <w:pStyle w:val="Default"/>
        <w:numPr>
          <w:ilvl w:val="0"/>
          <w:numId w:val="21"/>
        </w:numPr>
        <w:spacing w:line="276" w:lineRule="auto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14477">
        <w:rPr>
          <w:rFonts w:asciiTheme="minorHAnsi" w:hAnsiTheme="minorHAnsi" w:cstheme="minorHAnsi"/>
          <w:color w:val="auto"/>
          <w:sz w:val="22"/>
          <w:szCs w:val="22"/>
        </w:rPr>
        <w:t>Regionalne poręczenia zapłaty wadium dla MŚP udzielane Ostatecznym Odbiorcom przez Pośrednika Finansowego będą udzielane na warunkach korzystniejszych niż rynkowe zgodnie z zasadami udzielania pomocy de minimis, o których mowa w:</w:t>
      </w:r>
    </w:p>
    <w:p w:rsidR="00F14477" w:rsidRPr="00F14477" w:rsidRDefault="00F14477" w:rsidP="00F14477">
      <w:pPr>
        <w:pStyle w:val="Akapitzlist"/>
        <w:numPr>
          <w:ilvl w:val="0"/>
          <w:numId w:val="41"/>
        </w:numPr>
        <w:ind w:left="1779"/>
        <w:jc w:val="both"/>
        <w:rPr>
          <w:rFonts w:cstheme="minorHAnsi"/>
        </w:rPr>
      </w:pPr>
      <w:r w:rsidRPr="00F14477">
        <w:rPr>
          <w:rFonts w:cstheme="minorHAnsi"/>
          <w:bCs/>
        </w:rPr>
        <w:t xml:space="preserve">Rozporządzeniu Komisji (UE) 2023/2831 </w:t>
      </w:r>
      <w:r w:rsidRPr="00F14477">
        <w:rPr>
          <w:rFonts w:cstheme="minorHAnsi"/>
        </w:rPr>
        <w:t xml:space="preserve">z dnia 13 grudnia 2023 r. w sprawie stosowania art. 107 i 108 Traktatu o funkcjonowaniu Unii Europejskiej do pomocy </w:t>
      </w:r>
      <w:r w:rsidRPr="00F14477">
        <w:rPr>
          <w:rFonts w:cstheme="minorHAnsi"/>
          <w:i/>
          <w:iCs/>
        </w:rPr>
        <w:t xml:space="preserve">de minimis </w:t>
      </w:r>
      <w:r w:rsidRPr="00F14477">
        <w:rPr>
          <w:rFonts w:cstheme="minorHAnsi"/>
        </w:rPr>
        <w:t>(Dz. Urz. UE L, 2023/2831 z 15.12.2023),</w:t>
      </w:r>
    </w:p>
    <w:p w:rsidR="00F14477" w:rsidRPr="00F14477" w:rsidRDefault="00F14477" w:rsidP="00F14477">
      <w:pPr>
        <w:pStyle w:val="Akapitzlist"/>
        <w:numPr>
          <w:ilvl w:val="0"/>
          <w:numId w:val="41"/>
        </w:numPr>
        <w:spacing w:after="0"/>
        <w:ind w:left="1779"/>
        <w:jc w:val="both"/>
        <w:rPr>
          <w:rFonts w:cstheme="minorHAnsi"/>
        </w:rPr>
      </w:pPr>
      <w:r w:rsidRPr="00F14477">
        <w:rPr>
          <w:rFonts w:cstheme="minorHAnsi"/>
          <w:bCs/>
        </w:rPr>
        <w:t xml:space="preserve">Rozporządzeniu Komisji (UE) 2023/2832 </w:t>
      </w:r>
      <w:r w:rsidRPr="00F14477">
        <w:rPr>
          <w:rFonts w:cstheme="minorHAnsi"/>
        </w:rPr>
        <w:t xml:space="preserve">z dnia 13 grudnia 2023 r. w sprawie stosowania art. 107 i 108 Traktatu o funkcjonowaniu Unii Europejskiej do pomocy </w:t>
      </w:r>
      <w:r w:rsidRPr="00F14477">
        <w:rPr>
          <w:rFonts w:cstheme="minorHAnsi"/>
          <w:i/>
          <w:iCs/>
        </w:rPr>
        <w:t>de minimis</w:t>
      </w:r>
      <w:r w:rsidRPr="00F14477">
        <w:rPr>
          <w:rFonts w:cstheme="minorHAnsi"/>
          <w:iCs/>
        </w:rPr>
        <w:t xml:space="preserve"> przyznawanej przedsiębiorstwom wykonującym usługi świadczone w ogólnym interesie gospodarczym</w:t>
      </w:r>
      <w:r w:rsidRPr="00F14477">
        <w:rPr>
          <w:rFonts w:cstheme="minorHAnsi"/>
          <w:i/>
          <w:iCs/>
        </w:rPr>
        <w:t xml:space="preserve"> </w:t>
      </w:r>
      <w:r w:rsidRPr="00F14477">
        <w:rPr>
          <w:rFonts w:cstheme="minorHAnsi"/>
        </w:rPr>
        <w:t xml:space="preserve">(Dz. Urz. UE L, 2023/2832 z 15.12.2023), </w:t>
      </w:r>
    </w:p>
    <w:p w:rsidR="00F14477" w:rsidRPr="00F14477" w:rsidRDefault="00F14477" w:rsidP="00F14477">
      <w:pPr>
        <w:spacing w:after="0"/>
        <w:ind w:left="1419"/>
        <w:jc w:val="both"/>
        <w:rPr>
          <w:rFonts w:cstheme="minorHAnsi"/>
          <w:color w:val="FF0000"/>
        </w:rPr>
      </w:pPr>
      <w:r w:rsidRPr="00F14477">
        <w:rPr>
          <w:rFonts w:cstheme="minorHAnsi"/>
        </w:rPr>
        <w:t>pod warunkiem, że inwestycja, której dotyczy Regionalne poręczenie zapłaty wadium dla MŚP wpisuje się w co najmniej jeden z celów wymienionych w pkt. VIII.1 Metryki.</w:t>
      </w:r>
      <w:r w:rsidRPr="00F14477">
        <w:rPr>
          <w:rFonts w:cstheme="minorHAnsi"/>
          <w:color w:val="FF0000"/>
        </w:rPr>
        <w:t xml:space="preserve"> </w:t>
      </w:r>
    </w:p>
    <w:p w:rsidR="00F14477" w:rsidRPr="00F14477" w:rsidRDefault="00F14477" w:rsidP="00F14477">
      <w:pPr>
        <w:pStyle w:val="Akapitzlist"/>
        <w:numPr>
          <w:ilvl w:val="0"/>
          <w:numId w:val="48"/>
        </w:numPr>
        <w:spacing w:after="0"/>
        <w:jc w:val="both"/>
        <w:rPr>
          <w:rFonts w:cstheme="minorHAnsi"/>
          <w:b/>
        </w:rPr>
      </w:pPr>
      <w:r w:rsidRPr="00F14477">
        <w:rPr>
          <w:rFonts w:cstheme="minorHAnsi"/>
        </w:rPr>
        <w:t>W przypadku braku możliwości udzielenia danemu Ostatecznemu Odbiorcy pomocy</w:t>
      </w:r>
      <w:r w:rsidRPr="00F14477">
        <w:rPr>
          <w:rFonts w:cstheme="minorHAnsi"/>
        </w:rPr>
        <w:br/>
        <w:t>de minimis, o której mowa w pkt. 1 powyżej, Regionalne poręczenie zapłaty wadium dla MŚP udzielane jest na warunkach rynkowych, przy zastosowaniu tzw. bezpiecznych stawek określonych w Obwieszczeniu Komisji w sprawie zastosowania art. 87 i 88 Traktatu WE do pomocy państwa w formie gwarancji (Dz. Urz. UE C 155 z 20.6.2008 r., str. 10) oraz po przeprowadzeniu analizy ryzyka wypłaty Regionalnego poręczenia należytego wykonania umowy, poręczenia gwarancji jakości i rękojmi za wady zgodnie ze stosowanymi przez Pośrednika Finansowego i powszechnie akceptowanymi w sektorze finansowym metodami oceny ryzyka.</w:t>
      </w:r>
    </w:p>
    <w:p w:rsidR="00F14477" w:rsidRPr="00F14477" w:rsidRDefault="00F14477" w:rsidP="00F14477">
      <w:pPr>
        <w:pStyle w:val="Akapitzlist"/>
        <w:numPr>
          <w:ilvl w:val="0"/>
          <w:numId w:val="48"/>
        </w:numPr>
        <w:spacing w:after="0"/>
        <w:jc w:val="both"/>
        <w:rPr>
          <w:rFonts w:cstheme="minorHAnsi"/>
          <w:b/>
        </w:rPr>
      </w:pPr>
      <w:r w:rsidRPr="00F14477">
        <w:rPr>
          <w:rFonts w:cstheme="minorHAnsi"/>
        </w:rPr>
        <w:t>Pośrednik Finansowy nie może pobierać od Ostatecznego Odbiorcy żadnych opłat związanych z udzieleniem i obsługą Regionalnego poręczenie wadium dla MŚP, innych niż Prowizja za udzielenie Regionalnego poręczenia wadium dla MŚP. Powyższe nie dotyczy odrębnie uregulowanych czynności windykacyjnych.</w:t>
      </w:r>
    </w:p>
    <w:p w:rsidR="00F14477" w:rsidRPr="00F14477" w:rsidRDefault="00F14477" w:rsidP="00F14477">
      <w:pPr>
        <w:pStyle w:val="Akapitzlist"/>
        <w:numPr>
          <w:ilvl w:val="0"/>
          <w:numId w:val="48"/>
        </w:numPr>
        <w:spacing w:after="0"/>
        <w:jc w:val="both"/>
        <w:rPr>
          <w:rFonts w:cstheme="minorHAnsi"/>
          <w:b/>
        </w:rPr>
      </w:pPr>
      <w:r w:rsidRPr="00F14477">
        <w:rPr>
          <w:rFonts w:cstheme="minorHAnsi"/>
        </w:rPr>
        <w:t>W przypadku udzielenia Regionalnego poręczenia wadium dla MŚP na warunkach rynkowych, o których mowa w pkt. 2 powyżej Pośrednik Finansowy pobiera za jego udzielenie wyłącznie cenę rynkową, o której mowa w Obwieszczeniu Komisji w sprawie zastosowania art. 87 i 88 Traktatu WE do pomocy państwa w formie gwarancji.</w:t>
      </w:r>
    </w:p>
    <w:p w:rsidR="007A7267" w:rsidRPr="00F14477" w:rsidRDefault="007A7267" w:rsidP="007A7267">
      <w:pPr>
        <w:tabs>
          <w:tab w:val="num" w:pos="426"/>
        </w:tabs>
        <w:spacing w:after="120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2"/>
      </w:tblGrid>
      <w:tr w:rsidR="004E6364" w:rsidTr="004E6364">
        <w:tc>
          <w:tcPr>
            <w:tcW w:w="3212" w:type="dxa"/>
            <w:tcBorders>
              <w:bottom w:val="dotted" w:sz="4" w:space="0" w:color="auto"/>
            </w:tcBorders>
          </w:tcPr>
          <w:p w:rsidR="004E6364" w:rsidRDefault="004E6364" w:rsidP="007A7267">
            <w:pPr>
              <w:tabs>
                <w:tab w:val="num" w:pos="426"/>
              </w:tabs>
              <w:spacing w:after="120" w:line="276" w:lineRule="auto"/>
              <w:jc w:val="both"/>
            </w:pPr>
          </w:p>
          <w:p w:rsidR="00602B6E" w:rsidRDefault="00602B6E" w:rsidP="007A7267">
            <w:pPr>
              <w:tabs>
                <w:tab w:val="num" w:pos="426"/>
              </w:tabs>
              <w:spacing w:after="120" w:line="276" w:lineRule="auto"/>
              <w:jc w:val="both"/>
            </w:pPr>
          </w:p>
          <w:p w:rsidR="00602B6E" w:rsidRDefault="00602B6E" w:rsidP="007A7267">
            <w:pPr>
              <w:tabs>
                <w:tab w:val="num" w:pos="426"/>
              </w:tabs>
              <w:spacing w:after="120" w:line="276" w:lineRule="auto"/>
              <w:jc w:val="both"/>
            </w:pPr>
          </w:p>
          <w:p w:rsidR="00602B6E" w:rsidRDefault="00602B6E" w:rsidP="007A7267">
            <w:pPr>
              <w:tabs>
                <w:tab w:val="num" w:pos="426"/>
              </w:tabs>
              <w:spacing w:after="120" w:line="276" w:lineRule="auto"/>
              <w:jc w:val="both"/>
            </w:pPr>
          </w:p>
        </w:tc>
      </w:tr>
      <w:tr w:rsidR="00D42C1B" w:rsidTr="004E1B11">
        <w:tc>
          <w:tcPr>
            <w:tcW w:w="3212" w:type="dxa"/>
            <w:tcBorders>
              <w:top w:val="dotted" w:sz="4" w:space="0" w:color="auto"/>
            </w:tcBorders>
          </w:tcPr>
          <w:p w:rsidR="00D42C1B" w:rsidRPr="004E6364" w:rsidRDefault="00D42C1B" w:rsidP="004E1B11">
            <w:pPr>
              <w:tabs>
                <w:tab w:val="num" w:pos="426"/>
              </w:tabs>
              <w:spacing w:after="120" w:line="276" w:lineRule="auto"/>
              <w:jc w:val="both"/>
              <w:rPr>
                <w:sz w:val="16"/>
                <w:szCs w:val="16"/>
              </w:rPr>
            </w:pPr>
            <w:r w:rsidRPr="004E6364"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  <w:t xml:space="preserve">Podpis </w:t>
            </w:r>
            <w:r w:rsidRPr="00C86E22">
              <w:rPr>
                <w:rFonts w:asciiTheme="minorHAnsi" w:eastAsiaTheme="minorHAnsi" w:hAnsiTheme="minorHAnsi"/>
                <w:color w:val="FF0000"/>
                <w:sz w:val="16"/>
                <w:szCs w:val="16"/>
                <w:lang w:eastAsia="en-US"/>
              </w:rPr>
              <w:t>Pośrednika Finansowego</w:t>
            </w:r>
            <w:r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D42C1B" w:rsidRDefault="00D42C1B" w:rsidP="00D42C1B">
      <w:pPr>
        <w:tabs>
          <w:tab w:val="num" w:pos="426"/>
        </w:tabs>
        <w:spacing w:after="120"/>
        <w:jc w:val="both"/>
      </w:pPr>
    </w:p>
    <w:p w:rsidR="00D42C1B" w:rsidRDefault="00D42C1B" w:rsidP="00D42C1B">
      <w:pPr>
        <w:tabs>
          <w:tab w:val="num" w:pos="426"/>
        </w:tabs>
        <w:spacing w:after="120"/>
        <w:jc w:val="both"/>
      </w:pPr>
      <w:r>
        <w:t>Oświadczam, iż zapoznałem się z treścią niniejszego dokumentu:</w:t>
      </w:r>
    </w:p>
    <w:p w:rsidR="00D42C1B" w:rsidRDefault="00D42C1B" w:rsidP="00D42C1B">
      <w:pPr>
        <w:tabs>
          <w:tab w:val="num" w:pos="426"/>
        </w:tabs>
        <w:spacing w:after="120"/>
        <w:jc w:val="both"/>
      </w:pPr>
    </w:p>
    <w:tbl>
      <w:tblPr>
        <w:tblStyle w:val="Tabela-Siatka"/>
        <w:tblW w:w="0" w:type="auto"/>
        <w:tblLook w:val="04A0"/>
      </w:tblPr>
      <w:tblGrid>
        <w:gridCol w:w="3212"/>
      </w:tblGrid>
      <w:tr w:rsidR="00D42C1B" w:rsidTr="004E1B11">
        <w:tc>
          <w:tcPr>
            <w:tcW w:w="32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42C1B" w:rsidRDefault="00D42C1B" w:rsidP="004E1B11">
            <w:pPr>
              <w:tabs>
                <w:tab w:val="num" w:pos="426"/>
              </w:tabs>
              <w:spacing w:after="120" w:line="276" w:lineRule="auto"/>
              <w:jc w:val="both"/>
            </w:pPr>
          </w:p>
        </w:tc>
      </w:tr>
      <w:tr w:rsidR="00D42C1B" w:rsidTr="004E1B11">
        <w:tc>
          <w:tcPr>
            <w:tcW w:w="32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42C1B" w:rsidRPr="005754EC" w:rsidRDefault="00D42C1B" w:rsidP="004E1B11">
            <w:pPr>
              <w:tabs>
                <w:tab w:val="num" w:pos="426"/>
              </w:tabs>
              <w:spacing w:after="120" w:line="276" w:lineRule="auto"/>
              <w:jc w:val="both"/>
              <w:rPr>
                <w:color w:val="FF0000"/>
                <w:sz w:val="16"/>
                <w:szCs w:val="16"/>
              </w:rPr>
            </w:pPr>
            <w:r w:rsidRPr="004E6364"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  <w:t xml:space="preserve">Podpis </w:t>
            </w:r>
            <w:r>
              <w:rPr>
                <w:rFonts w:asciiTheme="minorHAnsi" w:eastAsiaTheme="minorHAnsi" w:hAnsiTheme="minorHAnsi"/>
                <w:color w:val="FF0000"/>
                <w:sz w:val="16"/>
                <w:szCs w:val="16"/>
                <w:lang w:eastAsia="en-US"/>
              </w:rPr>
              <w:t>Ostatecznego Odbiorcy</w:t>
            </w:r>
          </w:p>
        </w:tc>
      </w:tr>
    </w:tbl>
    <w:p w:rsidR="004E6364" w:rsidRPr="00F854F4" w:rsidRDefault="004E6364" w:rsidP="007A7267">
      <w:pPr>
        <w:tabs>
          <w:tab w:val="num" w:pos="426"/>
        </w:tabs>
        <w:spacing w:after="120"/>
        <w:jc w:val="both"/>
      </w:pPr>
    </w:p>
    <w:sectPr w:rsidR="004E6364" w:rsidRPr="00F854F4" w:rsidSect="000248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135" w:left="993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27" w:rsidRDefault="00743A27" w:rsidP="00BA3860">
      <w:pPr>
        <w:spacing w:after="0" w:line="240" w:lineRule="auto"/>
      </w:pPr>
      <w:r>
        <w:separator/>
      </w:r>
    </w:p>
  </w:endnote>
  <w:endnote w:type="continuationSeparator" w:id="0">
    <w:p w:rsidR="00743A27" w:rsidRDefault="00743A27" w:rsidP="00BA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61526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57684" w:rsidRDefault="00F57684">
            <w:pPr>
              <w:pStyle w:val="Stopka"/>
              <w:jc w:val="center"/>
            </w:pPr>
            <w:r>
              <w:t xml:space="preserve">Strona </w:t>
            </w:r>
            <w:r w:rsidR="002512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512CF">
              <w:rPr>
                <w:b/>
                <w:bCs/>
                <w:sz w:val="24"/>
                <w:szCs w:val="24"/>
              </w:rPr>
              <w:fldChar w:fldCharType="separate"/>
            </w:r>
            <w:r w:rsidR="007B377E">
              <w:rPr>
                <w:b/>
                <w:bCs/>
                <w:noProof/>
              </w:rPr>
              <w:t>6</w:t>
            </w:r>
            <w:r w:rsidR="002512C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512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512CF">
              <w:rPr>
                <w:b/>
                <w:bCs/>
                <w:sz w:val="24"/>
                <w:szCs w:val="24"/>
              </w:rPr>
              <w:fldChar w:fldCharType="separate"/>
            </w:r>
            <w:r w:rsidR="007B377E">
              <w:rPr>
                <w:b/>
                <w:bCs/>
                <w:noProof/>
              </w:rPr>
              <w:t>6</w:t>
            </w:r>
            <w:r w:rsidR="002512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E4B31" w:rsidRDefault="003E4B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39674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942C2C" w:rsidRDefault="00942C2C">
            <w:pPr>
              <w:pStyle w:val="Stopka"/>
              <w:jc w:val="center"/>
            </w:pPr>
            <w:r>
              <w:t xml:space="preserve">Strona </w:t>
            </w:r>
            <w:r w:rsidR="002512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512CF">
              <w:rPr>
                <w:b/>
                <w:sz w:val="24"/>
                <w:szCs w:val="24"/>
              </w:rPr>
              <w:fldChar w:fldCharType="separate"/>
            </w:r>
            <w:r w:rsidR="007B377E">
              <w:rPr>
                <w:b/>
                <w:noProof/>
              </w:rPr>
              <w:t>1</w:t>
            </w:r>
            <w:r w:rsidR="002512C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512C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512CF">
              <w:rPr>
                <w:b/>
                <w:sz w:val="24"/>
                <w:szCs w:val="24"/>
              </w:rPr>
              <w:fldChar w:fldCharType="separate"/>
            </w:r>
            <w:r w:rsidR="007B377E">
              <w:rPr>
                <w:b/>
                <w:noProof/>
              </w:rPr>
              <w:t>6</w:t>
            </w:r>
            <w:r w:rsidR="002512C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2C2C" w:rsidRDefault="00942C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27" w:rsidRDefault="00743A27" w:rsidP="00BA3860">
      <w:pPr>
        <w:spacing w:after="0" w:line="240" w:lineRule="auto"/>
      </w:pPr>
      <w:r>
        <w:separator/>
      </w:r>
    </w:p>
  </w:footnote>
  <w:footnote w:type="continuationSeparator" w:id="0">
    <w:p w:rsidR="00743A27" w:rsidRDefault="00743A27" w:rsidP="00BA3860">
      <w:pPr>
        <w:spacing w:after="0" w:line="240" w:lineRule="auto"/>
      </w:pPr>
      <w:r>
        <w:continuationSeparator/>
      </w:r>
    </w:p>
  </w:footnote>
  <w:footnote w:id="1">
    <w:p w:rsidR="00F14477" w:rsidRPr="0006522E" w:rsidRDefault="00F14477" w:rsidP="00F14477">
      <w:pPr>
        <w:pStyle w:val="Tekstprzypisudolnego"/>
        <w:jc w:val="both"/>
        <w:rPr>
          <w:rFonts w:cstheme="minorHAnsi"/>
        </w:rPr>
      </w:pPr>
      <w:r w:rsidRPr="0006522E">
        <w:rPr>
          <w:rStyle w:val="Odwoanieprzypisudolnego"/>
          <w:rFonts w:cstheme="minorHAnsi"/>
        </w:rPr>
        <w:footnoteRef/>
      </w:r>
      <w:r w:rsidRPr="0006522E">
        <w:rPr>
          <w:rFonts w:cstheme="minorHAnsi"/>
        </w:rPr>
        <w:t xml:space="preserve"> Analizy SWOT dla poszczególnych inteligentnych specjalizacji znajdują się w raportach z Badania Potencjału innowacyjnego i rozwojowego przedsiębiorstw funkcjonujących w ramach inteligentnych specjalizacji województwa warmińsko-mazurskiego, dostępnych na stronie </w:t>
      </w:r>
      <w:r w:rsidRPr="0006522E">
        <w:rPr>
          <w:rFonts w:cstheme="minorHAnsi"/>
          <w:color w:val="0000FF"/>
          <w:u w:val="single"/>
        </w:rPr>
        <w:t>biznes.warmia.mazury.pl</w:t>
      </w:r>
    </w:p>
  </w:footnote>
  <w:footnote w:id="2">
    <w:p w:rsidR="00F14477" w:rsidRDefault="00F14477" w:rsidP="00F144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3B2C">
        <w:rPr>
          <w:rFonts w:cstheme="minorHAnsi"/>
        </w:rPr>
        <w:t xml:space="preserve">Na moment </w:t>
      </w:r>
      <w:r>
        <w:rPr>
          <w:rFonts w:cstheme="minorHAnsi"/>
        </w:rPr>
        <w:t>podpisania umowy Regionalnego poręczenia dla MŚP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646" w:rsidRDefault="00A36646" w:rsidP="00A36646">
    <w:pPr>
      <w:pStyle w:val="Nagwek"/>
      <w:tabs>
        <w:tab w:val="clear" w:pos="9072"/>
        <w:tab w:val="left" w:pos="3720"/>
        <w:tab w:val="right" w:pos="9639"/>
      </w:tabs>
    </w:pPr>
    <w:r>
      <w:rPr>
        <w:noProof/>
      </w:rPr>
      <w:tab/>
      <w:t xml:space="preserve">                                </w:t>
    </w:r>
    <w:r>
      <w:rPr>
        <w:noProof/>
      </w:rPr>
      <w:tab/>
    </w:r>
  </w:p>
  <w:p w:rsidR="00F57684" w:rsidRDefault="00F57684" w:rsidP="00242BE0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8A4" w:rsidRDefault="000248A4">
    <w:pPr>
      <w:pStyle w:val="Nagwek"/>
    </w:pPr>
    <w:r>
      <w:rPr>
        <w:noProof/>
        <w:lang w:eastAsia="pl-PL"/>
      </w:rPr>
      <w:drawing>
        <wp:inline distT="0" distB="0" distL="0" distR="0">
          <wp:extent cx="6210300" cy="811353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113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F02"/>
    <w:multiLevelType w:val="hybridMultilevel"/>
    <w:tmpl w:val="41585342"/>
    <w:lvl w:ilvl="0" w:tplc="14EE2BEA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5689"/>
    <w:multiLevelType w:val="hybridMultilevel"/>
    <w:tmpl w:val="F772736C"/>
    <w:lvl w:ilvl="0" w:tplc="4144394E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1C50FD6"/>
    <w:multiLevelType w:val="hybridMultilevel"/>
    <w:tmpl w:val="5D90B928"/>
    <w:lvl w:ilvl="0" w:tplc="0BB0DF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EE3E6A"/>
    <w:multiLevelType w:val="hybridMultilevel"/>
    <w:tmpl w:val="5858B474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374219E"/>
    <w:multiLevelType w:val="hybridMultilevel"/>
    <w:tmpl w:val="9304921C"/>
    <w:lvl w:ilvl="0" w:tplc="7A36F68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A9F2A97"/>
    <w:multiLevelType w:val="hybridMultilevel"/>
    <w:tmpl w:val="40AED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E286A"/>
    <w:multiLevelType w:val="hybridMultilevel"/>
    <w:tmpl w:val="6CF6B8C8"/>
    <w:lvl w:ilvl="0" w:tplc="7952A7C8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0C7A4B35"/>
    <w:multiLevelType w:val="hybridMultilevel"/>
    <w:tmpl w:val="4314D6EC"/>
    <w:lvl w:ilvl="0" w:tplc="7714D3E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D23396E"/>
    <w:multiLevelType w:val="hybridMultilevel"/>
    <w:tmpl w:val="F14A3FDE"/>
    <w:lvl w:ilvl="0" w:tplc="62C22D10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0">
    <w:nsid w:val="0FBC46B6"/>
    <w:multiLevelType w:val="hybridMultilevel"/>
    <w:tmpl w:val="9510EA60"/>
    <w:lvl w:ilvl="0" w:tplc="18A6E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E289A"/>
    <w:multiLevelType w:val="hybridMultilevel"/>
    <w:tmpl w:val="B494173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1D4909"/>
    <w:multiLevelType w:val="hybridMultilevel"/>
    <w:tmpl w:val="37B6AA1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925560"/>
    <w:multiLevelType w:val="hybridMultilevel"/>
    <w:tmpl w:val="C952D3F0"/>
    <w:lvl w:ilvl="0" w:tplc="F0C2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6684F"/>
    <w:multiLevelType w:val="hybridMultilevel"/>
    <w:tmpl w:val="F8F8E3E6"/>
    <w:lvl w:ilvl="0" w:tplc="04150017">
      <w:start w:val="1"/>
      <w:numFmt w:val="lowerLetter"/>
      <w:lvlText w:val="%1)"/>
      <w:lvlJc w:val="left"/>
      <w:pPr>
        <w:ind w:left="1779" w:hanging="360"/>
      </w:p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>
    <w:nsid w:val="186332E9"/>
    <w:multiLevelType w:val="hybridMultilevel"/>
    <w:tmpl w:val="AB44C5D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A5F5918"/>
    <w:multiLevelType w:val="hybridMultilevel"/>
    <w:tmpl w:val="660E8F60"/>
    <w:lvl w:ilvl="0" w:tplc="9412E2D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13F14FB"/>
    <w:multiLevelType w:val="hybridMultilevel"/>
    <w:tmpl w:val="B5EE1102"/>
    <w:lvl w:ilvl="0" w:tplc="CD7A60BA">
      <w:start w:val="1"/>
      <w:numFmt w:val="decimal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2CA522C"/>
    <w:multiLevelType w:val="hybridMultilevel"/>
    <w:tmpl w:val="9D1486E6"/>
    <w:lvl w:ilvl="0" w:tplc="7714D3E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D074FD"/>
    <w:multiLevelType w:val="hybridMultilevel"/>
    <w:tmpl w:val="93048B44"/>
    <w:lvl w:ilvl="0" w:tplc="524A6042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>
    <w:nsid w:val="2BF21F46"/>
    <w:multiLevelType w:val="hybridMultilevel"/>
    <w:tmpl w:val="E76CC9F8"/>
    <w:lvl w:ilvl="0" w:tplc="E8D83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943F55"/>
    <w:multiLevelType w:val="hybridMultilevel"/>
    <w:tmpl w:val="F83E16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2007780"/>
    <w:multiLevelType w:val="hybridMultilevel"/>
    <w:tmpl w:val="8EB898AC"/>
    <w:lvl w:ilvl="0" w:tplc="7EE21FD4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3">
    <w:nsid w:val="33A752F1"/>
    <w:multiLevelType w:val="hybridMultilevel"/>
    <w:tmpl w:val="5B8ED0B8"/>
    <w:lvl w:ilvl="0" w:tplc="3FE0E5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44CED"/>
    <w:multiLevelType w:val="hybridMultilevel"/>
    <w:tmpl w:val="2536E5EC"/>
    <w:lvl w:ilvl="0" w:tplc="1DC436B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40E83B0C"/>
    <w:multiLevelType w:val="hybridMultilevel"/>
    <w:tmpl w:val="2130722A"/>
    <w:lvl w:ilvl="0" w:tplc="2E44675C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1779DB"/>
    <w:multiLevelType w:val="hybridMultilevel"/>
    <w:tmpl w:val="2536E5EC"/>
    <w:lvl w:ilvl="0" w:tplc="1DC436B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44C7372C"/>
    <w:multiLevelType w:val="hybridMultilevel"/>
    <w:tmpl w:val="323EC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413DD3"/>
    <w:multiLevelType w:val="hybridMultilevel"/>
    <w:tmpl w:val="9320A8C2"/>
    <w:lvl w:ilvl="0" w:tplc="BEFEBF2A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468A6"/>
    <w:multiLevelType w:val="hybridMultilevel"/>
    <w:tmpl w:val="105CE352"/>
    <w:lvl w:ilvl="0" w:tplc="72F8FC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FD3139E"/>
    <w:multiLevelType w:val="hybridMultilevel"/>
    <w:tmpl w:val="308844C0"/>
    <w:lvl w:ilvl="0" w:tplc="D8C69C6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51706A02"/>
    <w:multiLevelType w:val="hybridMultilevel"/>
    <w:tmpl w:val="26A4BB44"/>
    <w:lvl w:ilvl="0" w:tplc="D6BEE4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7D140F"/>
    <w:multiLevelType w:val="hybridMultilevel"/>
    <w:tmpl w:val="A2762368"/>
    <w:lvl w:ilvl="0" w:tplc="11A419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2C51CF"/>
    <w:multiLevelType w:val="hybridMultilevel"/>
    <w:tmpl w:val="87A08274"/>
    <w:lvl w:ilvl="0" w:tplc="04150015">
      <w:start w:val="1"/>
      <w:numFmt w:val="upperLetter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5CE459AF"/>
    <w:multiLevelType w:val="hybridMultilevel"/>
    <w:tmpl w:val="B93CA878"/>
    <w:lvl w:ilvl="0" w:tplc="B83ED2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F20223C"/>
    <w:multiLevelType w:val="hybridMultilevel"/>
    <w:tmpl w:val="1BD28D6E"/>
    <w:lvl w:ilvl="0" w:tplc="D1AAEE7C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6">
    <w:nsid w:val="5F615DB6"/>
    <w:multiLevelType w:val="hybridMultilevel"/>
    <w:tmpl w:val="55BA57B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5FE9448E"/>
    <w:multiLevelType w:val="hybridMultilevel"/>
    <w:tmpl w:val="B4D62DF4"/>
    <w:lvl w:ilvl="0" w:tplc="7714D3E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056390"/>
    <w:multiLevelType w:val="hybridMultilevel"/>
    <w:tmpl w:val="A8D81998"/>
    <w:lvl w:ilvl="0" w:tplc="4D6EF7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B901FA"/>
    <w:multiLevelType w:val="hybridMultilevel"/>
    <w:tmpl w:val="2A3A5170"/>
    <w:lvl w:ilvl="0" w:tplc="B04842F2">
      <w:start w:val="6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>
    <w:nsid w:val="647B0A1C"/>
    <w:multiLevelType w:val="hybridMultilevel"/>
    <w:tmpl w:val="323EC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F97C0F"/>
    <w:multiLevelType w:val="hybridMultilevel"/>
    <w:tmpl w:val="AB44C5D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6AF1E10"/>
    <w:multiLevelType w:val="hybridMultilevel"/>
    <w:tmpl w:val="083E7F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67945D2A"/>
    <w:multiLevelType w:val="hybridMultilevel"/>
    <w:tmpl w:val="B368230E"/>
    <w:lvl w:ilvl="0" w:tplc="1B74993A">
      <w:start w:val="6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FB2817"/>
    <w:multiLevelType w:val="hybridMultilevel"/>
    <w:tmpl w:val="F772736C"/>
    <w:lvl w:ilvl="0" w:tplc="4144394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9426771"/>
    <w:multiLevelType w:val="hybridMultilevel"/>
    <w:tmpl w:val="297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3E550F"/>
    <w:multiLevelType w:val="hybridMultilevel"/>
    <w:tmpl w:val="A18CF2F6"/>
    <w:lvl w:ilvl="0" w:tplc="70283E2C">
      <w:start w:val="1"/>
      <w:numFmt w:val="lowerLetter"/>
      <w:lvlText w:val="%1)"/>
      <w:lvlJc w:val="left"/>
      <w:pPr>
        <w:ind w:left="1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7E985C46"/>
    <w:multiLevelType w:val="hybridMultilevel"/>
    <w:tmpl w:val="1D742EE8"/>
    <w:lvl w:ilvl="0" w:tplc="C98A4B8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FC7A78A4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8"/>
  </w:num>
  <w:num w:numId="3">
    <w:abstractNumId w:val="5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1"/>
  </w:num>
  <w:num w:numId="7">
    <w:abstractNumId w:val="25"/>
  </w:num>
  <w:num w:numId="8">
    <w:abstractNumId w:val="4"/>
  </w:num>
  <w:num w:numId="9">
    <w:abstractNumId w:val="7"/>
  </w:num>
  <w:num w:numId="10">
    <w:abstractNumId w:val="42"/>
  </w:num>
  <w:num w:numId="11">
    <w:abstractNumId w:val="13"/>
  </w:num>
  <w:num w:numId="12">
    <w:abstractNumId w:val="11"/>
  </w:num>
  <w:num w:numId="13">
    <w:abstractNumId w:val="16"/>
  </w:num>
  <w:num w:numId="14">
    <w:abstractNumId w:val="1"/>
  </w:num>
  <w:num w:numId="15">
    <w:abstractNumId w:val="9"/>
  </w:num>
  <w:num w:numId="16">
    <w:abstractNumId w:val="15"/>
  </w:num>
  <w:num w:numId="17">
    <w:abstractNumId w:val="26"/>
  </w:num>
  <w:num w:numId="18">
    <w:abstractNumId w:val="36"/>
  </w:num>
  <w:num w:numId="19">
    <w:abstractNumId w:val="0"/>
  </w:num>
  <w:num w:numId="20">
    <w:abstractNumId w:val="35"/>
  </w:num>
  <w:num w:numId="21">
    <w:abstractNumId w:val="29"/>
  </w:num>
  <w:num w:numId="22">
    <w:abstractNumId w:val="19"/>
  </w:num>
  <w:num w:numId="23">
    <w:abstractNumId w:val="46"/>
  </w:num>
  <w:num w:numId="24">
    <w:abstractNumId w:val="3"/>
  </w:num>
  <w:num w:numId="25">
    <w:abstractNumId w:val="22"/>
  </w:num>
  <w:num w:numId="26">
    <w:abstractNumId w:val="47"/>
  </w:num>
  <w:num w:numId="27">
    <w:abstractNumId w:val="8"/>
  </w:num>
  <w:num w:numId="28">
    <w:abstractNumId w:val="44"/>
  </w:num>
  <w:num w:numId="29">
    <w:abstractNumId w:val="24"/>
  </w:num>
  <w:num w:numId="30">
    <w:abstractNumId w:val="14"/>
  </w:num>
  <w:num w:numId="31">
    <w:abstractNumId w:val="41"/>
  </w:num>
  <w:num w:numId="32">
    <w:abstractNumId w:val="39"/>
  </w:num>
  <w:num w:numId="33">
    <w:abstractNumId w:val="2"/>
  </w:num>
  <w:num w:numId="34">
    <w:abstractNumId w:val="32"/>
  </w:num>
  <w:num w:numId="35">
    <w:abstractNumId w:val="27"/>
  </w:num>
  <w:num w:numId="36">
    <w:abstractNumId w:val="23"/>
  </w:num>
  <w:num w:numId="37">
    <w:abstractNumId w:val="12"/>
  </w:num>
  <w:num w:numId="38">
    <w:abstractNumId w:val="6"/>
  </w:num>
  <w:num w:numId="39">
    <w:abstractNumId w:val="34"/>
  </w:num>
  <w:num w:numId="40">
    <w:abstractNumId w:val="17"/>
  </w:num>
  <w:num w:numId="41">
    <w:abstractNumId w:val="33"/>
  </w:num>
  <w:num w:numId="42">
    <w:abstractNumId w:val="37"/>
  </w:num>
  <w:num w:numId="43">
    <w:abstractNumId w:val="20"/>
  </w:num>
  <w:num w:numId="44">
    <w:abstractNumId w:val="18"/>
  </w:num>
  <w:num w:numId="45">
    <w:abstractNumId w:val="30"/>
  </w:num>
  <w:num w:numId="46">
    <w:abstractNumId w:val="43"/>
  </w:num>
  <w:num w:numId="47">
    <w:abstractNumId w:val="40"/>
  </w:num>
  <w:num w:numId="48">
    <w:abstractNumId w:val="2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7F3476"/>
    <w:rsid w:val="00004BAA"/>
    <w:rsid w:val="00013256"/>
    <w:rsid w:val="00023B04"/>
    <w:rsid w:val="00024080"/>
    <w:rsid w:val="000248A4"/>
    <w:rsid w:val="000311A0"/>
    <w:rsid w:val="000339A0"/>
    <w:rsid w:val="000348CD"/>
    <w:rsid w:val="00055219"/>
    <w:rsid w:val="00057A08"/>
    <w:rsid w:val="000710BD"/>
    <w:rsid w:val="00081B66"/>
    <w:rsid w:val="00097D21"/>
    <w:rsid w:val="000B2707"/>
    <w:rsid w:val="000B60CD"/>
    <w:rsid w:val="000C1D62"/>
    <w:rsid w:val="000C3F38"/>
    <w:rsid w:val="000D530C"/>
    <w:rsid w:val="000D755C"/>
    <w:rsid w:val="000E11F1"/>
    <w:rsid w:val="000F0392"/>
    <w:rsid w:val="001123FA"/>
    <w:rsid w:val="00112915"/>
    <w:rsid w:val="00117C19"/>
    <w:rsid w:val="0012340D"/>
    <w:rsid w:val="00130E21"/>
    <w:rsid w:val="00143B24"/>
    <w:rsid w:val="001458FD"/>
    <w:rsid w:val="001465A3"/>
    <w:rsid w:val="00177BFD"/>
    <w:rsid w:val="00187E02"/>
    <w:rsid w:val="00192DD1"/>
    <w:rsid w:val="00195DA4"/>
    <w:rsid w:val="001B152A"/>
    <w:rsid w:val="001B440A"/>
    <w:rsid w:val="001C1012"/>
    <w:rsid w:val="001D353E"/>
    <w:rsid w:val="001E0E56"/>
    <w:rsid w:val="001F0850"/>
    <w:rsid w:val="001F499D"/>
    <w:rsid w:val="00216CDB"/>
    <w:rsid w:val="00220E6E"/>
    <w:rsid w:val="00226AF4"/>
    <w:rsid w:val="002341C7"/>
    <w:rsid w:val="00241498"/>
    <w:rsid w:val="00242BE0"/>
    <w:rsid w:val="00243BEF"/>
    <w:rsid w:val="002512CF"/>
    <w:rsid w:val="0025429A"/>
    <w:rsid w:val="00257186"/>
    <w:rsid w:val="002612FF"/>
    <w:rsid w:val="00270B6A"/>
    <w:rsid w:val="002737AE"/>
    <w:rsid w:val="00280176"/>
    <w:rsid w:val="00281BE7"/>
    <w:rsid w:val="00286687"/>
    <w:rsid w:val="00286819"/>
    <w:rsid w:val="002A745F"/>
    <w:rsid w:val="002B6A7C"/>
    <w:rsid w:val="002C097C"/>
    <w:rsid w:val="002C1D6A"/>
    <w:rsid w:val="002D1C48"/>
    <w:rsid w:val="002E0530"/>
    <w:rsid w:val="002E11D2"/>
    <w:rsid w:val="002E125E"/>
    <w:rsid w:val="00303756"/>
    <w:rsid w:val="003077F0"/>
    <w:rsid w:val="0031356C"/>
    <w:rsid w:val="003408A3"/>
    <w:rsid w:val="00346CB0"/>
    <w:rsid w:val="003562D8"/>
    <w:rsid w:val="00357EB2"/>
    <w:rsid w:val="00360F43"/>
    <w:rsid w:val="00375439"/>
    <w:rsid w:val="0038795D"/>
    <w:rsid w:val="003C1B34"/>
    <w:rsid w:val="003C320E"/>
    <w:rsid w:val="003C5575"/>
    <w:rsid w:val="003D2106"/>
    <w:rsid w:val="003E30B6"/>
    <w:rsid w:val="003E4B31"/>
    <w:rsid w:val="003E578E"/>
    <w:rsid w:val="00417A9B"/>
    <w:rsid w:val="00432444"/>
    <w:rsid w:val="00486BD1"/>
    <w:rsid w:val="00487DB3"/>
    <w:rsid w:val="00487E6B"/>
    <w:rsid w:val="00494AFF"/>
    <w:rsid w:val="004C6971"/>
    <w:rsid w:val="004D669A"/>
    <w:rsid w:val="004D6CDD"/>
    <w:rsid w:val="004E6364"/>
    <w:rsid w:val="004F4478"/>
    <w:rsid w:val="0050030A"/>
    <w:rsid w:val="00511011"/>
    <w:rsid w:val="00525655"/>
    <w:rsid w:val="00532FE4"/>
    <w:rsid w:val="0055197A"/>
    <w:rsid w:val="00551C05"/>
    <w:rsid w:val="00560B36"/>
    <w:rsid w:val="0056504A"/>
    <w:rsid w:val="005719A4"/>
    <w:rsid w:val="005762B7"/>
    <w:rsid w:val="0057779D"/>
    <w:rsid w:val="00594AE4"/>
    <w:rsid w:val="005A41DA"/>
    <w:rsid w:val="005B5A6E"/>
    <w:rsid w:val="005C057F"/>
    <w:rsid w:val="005C3022"/>
    <w:rsid w:val="005C5CFF"/>
    <w:rsid w:val="005D1585"/>
    <w:rsid w:val="005E7890"/>
    <w:rsid w:val="005E79B9"/>
    <w:rsid w:val="005F3EAE"/>
    <w:rsid w:val="005F4AA7"/>
    <w:rsid w:val="005F7B39"/>
    <w:rsid w:val="005F7DC2"/>
    <w:rsid w:val="00602B6E"/>
    <w:rsid w:val="00614CDD"/>
    <w:rsid w:val="00622CCB"/>
    <w:rsid w:val="00623E3E"/>
    <w:rsid w:val="006265B3"/>
    <w:rsid w:val="0062766A"/>
    <w:rsid w:val="00634424"/>
    <w:rsid w:val="006344E6"/>
    <w:rsid w:val="00634BB7"/>
    <w:rsid w:val="00636B37"/>
    <w:rsid w:val="00643AB7"/>
    <w:rsid w:val="00644CFD"/>
    <w:rsid w:val="00671C14"/>
    <w:rsid w:val="00672E84"/>
    <w:rsid w:val="00674F4F"/>
    <w:rsid w:val="0067520B"/>
    <w:rsid w:val="00675EC4"/>
    <w:rsid w:val="006839E1"/>
    <w:rsid w:val="006856FE"/>
    <w:rsid w:val="00685F1A"/>
    <w:rsid w:val="0069098E"/>
    <w:rsid w:val="00693CC4"/>
    <w:rsid w:val="006A640C"/>
    <w:rsid w:val="006B26B1"/>
    <w:rsid w:val="006C69EF"/>
    <w:rsid w:val="006D1BB3"/>
    <w:rsid w:val="006E0A14"/>
    <w:rsid w:val="006E3D31"/>
    <w:rsid w:val="006E6C0F"/>
    <w:rsid w:val="006F5931"/>
    <w:rsid w:val="006F5AB8"/>
    <w:rsid w:val="007133F1"/>
    <w:rsid w:val="007153D4"/>
    <w:rsid w:val="00722AEC"/>
    <w:rsid w:val="00730601"/>
    <w:rsid w:val="007418CD"/>
    <w:rsid w:val="00743A27"/>
    <w:rsid w:val="00744A05"/>
    <w:rsid w:val="0075044C"/>
    <w:rsid w:val="007678C3"/>
    <w:rsid w:val="00793B17"/>
    <w:rsid w:val="00795C04"/>
    <w:rsid w:val="007A3B55"/>
    <w:rsid w:val="007A57F3"/>
    <w:rsid w:val="007A7267"/>
    <w:rsid w:val="007B377E"/>
    <w:rsid w:val="007B44BB"/>
    <w:rsid w:val="007F3476"/>
    <w:rsid w:val="007F762C"/>
    <w:rsid w:val="00817FA8"/>
    <w:rsid w:val="00835117"/>
    <w:rsid w:val="00851171"/>
    <w:rsid w:val="00854DE4"/>
    <w:rsid w:val="00874836"/>
    <w:rsid w:val="0087543C"/>
    <w:rsid w:val="00875729"/>
    <w:rsid w:val="00887B91"/>
    <w:rsid w:val="00890ECA"/>
    <w:rsid w:val="00894447"/>
    <w:rsid w:val="00895AA8"/>
    <w:rsid w:val="00897B41"/>
    <w:rsid w:val="008C3E59"/>
    <w:rsid w:val="008D40C3"/>
    <w:rsid w:val="008D6546"/>
    <w:rsid w:val="008D7DD7"/>
    <w:rsid w:val="008F1716"/>
    <w:rsid w:val="008F6C50"/>
    <w:rsid w:val="00905033"/>
    <w:rsid w:val="0091372E"/>
    <w:rsid w:val="00920443"/>
    <w:rsid w:val="009321EF"/>
    <w:rsid w:val="00942C2C"/>
    <w:rsid w:val="009443B8"/>
    <w:rsid w:val="00951184"/>
    <w:rsid w:val="0096179F"/>
    <w:rsid w:val="009674CB"/>
    <w:rsid w:val="00972035"/>
    <w:rsid w:val="0097555C"/>
    <w:rsid w:val="0098172F"/>
    <w:rsid w:val="0098437E"/>
    <w:rsid w:val="0098739F"/>
    <w:rsid w:val="00987B33"/>
    <w:rsid w:val="009A1193"/>
    <w:rsid w:val="009B2B9B"/>
    <w:rsid w:val="009B44EA"/>
    <w:rsid w:val="009B7A27"/>
    <w:rsid w:val="009D5EA3"/>
    <w:rsid w:val="009F1B63"/>
    <w:rsid w:val="00A11AF5"/>
    <w:rsid w:val="00A1317B"/>
    <w:rsid w:val="00A17609"/>
    <w:rsid w:val="00A21B2D"/>
    <w:rsid w:val="00A238D1"/>
    <w:rsid w:val="00A24218"/>
    <w:rsid w:val="00A33A2E"/>
    <w:rsid w:val="00A34E7D"/>
    <w:rsid w:val="00A35358"/>
    <w:rsid w:val="00A36646"/>
    <w:rsid w:val="00A36964"/>
    <w:rsid w:val="00A40AF0"/>
    <w:rsid w:val="00A51C14"/>
    <w:rsid w:val="00A52321"/>
    <w:rsid w:val="00A542FC"/>
    <w:rsid w:val="00A543DB"/>
    <w:rsid w:val="00A57E84"/>
    <w:rsid w:val="00A75226"/>
    <w:rsid w:val="00A9138E"/>
    <w:rsid w:val="00AA1717"/>
    <w:rsid w:val="00AB34F1"/>
    <w:rsid w:val="00AB48B4"/>
    <w:rsid w:val="00AC0B58"/>
    <w:rsid w:val="00AC711C"/>
    <w:rsid w:val="00AD2E51"/>
    <w:rsid w:val="00AD742B"/>
    <w:rsid w:val="00AE1252"/>
    <w:rsid w:val="00AE2F50"/>
    <w:rsid w:val="00AE6BD8"/>
    <w:rsid w:val="00AE7DAF"/>
    <w:rsid w:val="00AF0300"/>
    <w:rsid w:val="00AF05F9"/>
    <w:rsid w:val="00AF39A9"/>
    <w:rsid w:val="00B036B0"/>
    <w:rsid w:val="00B135ED"/>
    <w:rsid w:val="00B24BA7"/>
    <w:rsid w:val="00B26B77"/>
    <w:rsid w:val="00B31963"/>
    <w:rsid w:val="00B45306"/>
    <w:rsid w:val="00B77E7B"/>
    <w:rsid w:val="00B904C3"/>
    <w:rsid w:val="00B90701"/>
    <w:rsid w:val="00B966A6"/>
    <w:rsid w:val="00BA3860"/>
    <w:rsid w:val="00BB28F7"/>
    <w:rsid w:val="00BB66EA"/>
    <w:rsid w:val="00BB6F08"/>
    <w:rsid w:val="00BD677F"/>
    <w:rsid w:val="00C023FA"/>
    <w:rsid w:val="00C02D1A"/>
    <w:rsid w:val="00C040E3"/>
    <w:rsid w:val="00C10DBC"/>
    <w:rsid w:val="00C23EC1"/>
    <w:rsid w:val="00C36827"/>
    <w:rsid w:val="00C47D98"/>
    <w:rsid w:val="00C55797"/>
    <w:rsid w:val="00C94198"/>
    <w:rsid w:val="00C94EEB"/>
    <w:rsid w:val="00CB0854"/>
    <w:rsid w:val="00CC1E53"/>
    <w:rsid w:val="00CD524D"/>
    <w:rsid w:val="00CE36D6"/>
    <w:rsid w:val="00D00D62"/>
    <w:rsid w:val="00D05506"/>
    <w:rsid w:val="00D06864"/>
    <w:rsid w:val="00D30604"/>
    <w:rsid w:val="00D36C7E"/>
    <w:rsid w:val="00D40518"/>
    <w:rsid w:val="00D40685"/>
    <w:rsid w:val="00D41189"/>
    <w:rsid w:val="00D42C1B"/>
    <w:rsid w:val="00D50DF3"/>
    <w:rsid w:val="00D54BF0"/>
    <w:rsid w:val="00D55B08"/>
    <w:rsid w:val="00D60295"/>
    <w:rsid w:val="00D6349E"/>
    <w:rsid w:val="00D6531C"/>
    <w:rsid w:val="00D74946"/>
    <w:rsid w:val="00D82267"/>
    <w:rsid w:val="00D904DE"/>
    <w:rsid w:val="00D94AF1"/>
    <w:rsid w:val="00D95379"/>
    <w:rsid w:val="00D954C3"/>
    <w:rsid w:val="00D97F00"/>
    <w:rsid w:val="00DB1308"/>
    <w:rsid w:val="00DC23B4"/>
    <w:rsid w:val="00DC3B99"/>
    <w:rsid w:val="00DC6523"/>
    <w:rsid w:val="00DE57E0"/>
    <w:rsid w:val="00DF4B46"/>
    <w:rsid w:val="00E132AD"/>
    <w:rsid w:val="00E20A87"/>
    <w:rsid w:val="00E32484"/>
    <w:rsid w:val="00E572A7"/>
    <w:rsid w:val="00E70C0A"/>
    <w:rsid w:val="00E77063"/>
    <w:rsid w:val="00E9225B"/>
    <w:rsid w:val="00EB2075"/>
    <w:rsid w:val="00EB696A"/>
    <w:rsid w:val="00EC07BB"/>
    <w:rsid w:val="00EC3622"/>
    <w:rsid w:val="00ED33BE"/>
    <w:rsid w:val="00EE07F6"/>
    <w:rsid w:val="00EE2193"/>
    <w:rsid w:val="00EE7D30"/>
    <w:rsid w:val="00EF5F4D"/>
    <w:rsid w:val="00F122C6"/>
    <w:rsid w:val="00F14477"/>
    <w:rsid w:val="00F17A5A"/>
    <w:rsid w:val="00F17E4D"/>
    <w:rsid w:val="00F25628"/>
    <w:rsid w:val="00F348B2"/>
    <w:rsid w:val="00F501FA"/>
    <w:rsid w:val="00F569EB"/>
    <w:rsid w:val="00F57684"/>
    <w:rsid w:val="00F60DBF"/>
    <w:rsid w:val="00F67D54"/>
    <w:rsid w:val="00F82651"/>
    <w:rsid w:val="00F83828"/>
    <w:rsid w:val="00F84B8F"/>
    <w:rsid w:val="00F854F4"/>
    <w:rsid w:val="00F92B94"/>
    <w:rsid w:val="00FB10B5"/>
    <w:rsid w:val="00FB1546"/>
    <w:rsid w:val="00FB1880"/>
    <w:rsid w:val="00FB2DCE"/>
    <w:rsid w:val="00FB7094"/>
    <w:rsid w:val="00FC01ED"/>
    <w:rsid w:val="00FD1A3D"/>
    <w:rsid w:val="00FD2C5B"/>
    <w:rsid w:val="00FE1DFA"/>
    <w:rsid w:val="00FF1CAB"/>
    <w:rsid w:val="00FF2173"/>
    <w:rsid w:val="00FF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4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nowy"/>
    <w:basedOn w:val="Standardowy"/>
    <w:uiPriority w:val="39"/>
    <w:rsid w:val="007F3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,A_wyliczenie,K-P_odwolanie,Akapit z listą5,maz_wyliczenie,opis dzialania,EPL lista punktowana z wyrózneniem,1st level - Bullet List Paragraph,Lettre d'introduction,Normal bullet 2,Bullet list,Listenabsatz"/>
    <w:basedOn w:val="Normalny"/>
    <w:link w:val="AkapitzlistZnak"/>
    <w:uiPriority w:val="34"/>
    <w:qFormat/>
    <w:rsid w:val="007F347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3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D6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Znak1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unhideWhenUsed/>
    <w:qFormat/>
    <w:rsid w:val="00BA38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1 Znak,single space Znak,FOOTNOTES Znak,fn Znak,Podrozdział Znak,Fußnote Znak,Footnote Znak,Podrozdzia3 Znak,przypis Znak,Tekst przypisu Znak,Tekst przypisu Znak Znak Znak Znak Znak1,f Znak,ft Znak"/>
    <w:basedOn w:val="Domylnaczcionkaakapitu"/>
    <w:link w:val="Tekstprzypisudolnego"/>
    <w:uiPriority w:val="99"/>
    <w:rsid w:val="00BA3860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BA3860"/>
    <w:rPr>
      <w:vertAlign w:val="superscript"/>
    </w:rPr>
  </w:style>
  <w:style w:type="paragraph" w:styleId="Poprawka">
    <w:name w:val="Revision"/>
    <w:hidden/>
    <w:uiPriority w:val="99"/>
    <w:semiHidden/>
    <w:rsid w:val="006D1B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D7DD7"/>
    <w:rPr>
      <w:color w:val="0000FF" w:themeColor="hyperlink"/>
      <w:u w:val="single"/>
    </w:rPr>
  </w:style>
  <w:style w:type="paragraph" w:customStyle="1" w:styleId="Default">
    <w:name w:val="Default"/>
    <w:rsid w:val="008D7D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572A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B31"/>
  </w:style>
  <w:style w:type="paragraph" w:styleId="Stopka">
    <w:name w:val="footer"/>
    <w:basedOn w:val="Normalny"/>
    <w:link w:val="StopkaZnak"/>
    <w:uiPriority w:val="99"/>
    <w:unhideWhenUsed/>
    <w:rsid w:val="003E4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B31"/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EPL lista punktowana z wyrózneniem Znak,1st level - Bullet List Paragraph Znak,Bullet list Znak"/>
    <w:link w:val="Akapitzlist"/>
    <w:uiPriority w:val="34"/>
    <w:qFormat/>
    <w:locked/>
    <w:rsid w:val="00112915"/>
  </w:style>
  <w:style w:type="character" w:customStyle="1" w:styleId="Teksttreci">
    <w:name w:val="Tekst treści_"/>
    <w:basedOn w:val="Domylnaczcionkaakapitu"/>
    <w:link w:val="Teksttreci0"/>
    <w:locked/>
    <w:rsid w:val="00602B6E"/>
    <w:rPr>
      <w:rFonts w:ascii="Calibri" w:hAnsi="Calibri" w:cs="Calibri"/>
      <w:spacing w:val="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2B6E"/>
    <w:pPr>
      <w:shd w:val="clear" w:color="auto" w:fill="FFFFFF"/>
      <w:spacing w:before="420" w:after="0" w:line="230" w:lineRule="exact"/>
      <w:ind w:hanging="460"/>
      <w:jc w:val="right"/>
    </w:pPr>
    <w:rPr>
      <w:rFonts w:ascii="Calibri" w:hAnsi="Calibri" w:cs="Calibri"/>
      <w:spacing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10EF2-94D8-4873-84C7-A08054DD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Baczewski, Jacek</dc:creator>
  <cp:lastModifiedBy>Joanna Zienkiewicz</cp:lastModifiedBy>
  <cp:revision>14</cp:revision>
  <cp:lastPrinted>2024-11-04T10:19:00Z</cp:lastPrinted>
  <dcterms:created xsi:type="dcterms:W3CDTF">2024-09-23T08:40:00Z</dcterms:created>
  <dcterms:modified xsi:type="dcterms:W3CDTF">2024-11-04T10:19:00Z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Krzysztof.Lesniak@bgk.pl</vt:lpwstr>
  </property>
  <property fmtid="{D5CDD505-2E9C-101B-9397-08002B2CF9AE}" pid="5" name="MSIP_Label_ffd642cb-f5ac-4f9c-8f91-3377ed972e0d_SetDate">
    <vt:lpwstr>2019-04-29T14:16:59.9516635Z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2021-12-02T07:01:30Z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