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1771"/>
        <w:gridCol w:w="7439"/>
      </w:tblGrid>
      <w:tr w:rsidR="00E14E2B" w:rsidRPr="00D6040F" w:rsidTr="00E14E2B">
        <w:trPr>
          <w:trHeight w:val="253"/>
        </w:trPr>
        <w:tc>
          <w:tcPr>
            <w:tcW w:w="1771" w:type="dxa"/>
            <w:vMerge w:val="restart"/>
            <w:shd w:val="clear" w:color="auto" w:fill="auto"/>
            <w:vAlign w:val="bottom"/>
          </w:tcPr>
          <w:p w:rsidR="00E14E2B" w:rsidRPr="00D6040F" w:rsidRDefault="00E14E2B" w:rsidP="00E14E2B">
            <w:pPr>
              <w:pStyle w:val="Indeks"/>
              <w:suppressLineNumbers w:val="0"/>
              <w:snapToGrid w:val="0"/>
              <w:rPr>
                <w:rFonts w:ascii="Calibri" w:hAnsi="Calibri" w:cs="Calibri"/>
                <w:sz w:val="21"/>
                <w:szCs w:val="21"/>
              </w:rPr>
            </w:pPr>
            <w:r w:rsidRPr="00D6040F">
              <w:rPr>
                <w:noProof/>
                <w:sz w:val="21"/>
                <w:szCs w:val="21"/>
                <w:lang w:eastAsia="pl-PL"/>
              </w:rPr>
              <w:drawing>
                <wp:anchor distT="0" distB="0" distL="114935" distR="114935" simplePos="0" relativeHeight="251661312" behindDoc="0" locked="0" layoutInCell="1" allowOverlap="1">
                  <wp:simplePos x="0" y="0"/>
                  <wp:positionH relativeFrom="column">
                    <wp:posOffset>19050</wp:posOffset>
                  </wp:positionH>
                  <wp:positionV relativeFrom="paragraph">
                    <wp:posOffset>102870</wp:posOffset>
                  </wp:positionV>
                  <wp:extent cx="948055" cy="1024255"/>
                  <wp:effectExtent l="19050" t="0" r="444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5"/>
                          <a:srcRect/>
                          <a:stretch>
                            <a:fillRect/>
                          </a:stretch>
                        </pic:blipFill>
                        <pic:spPr bwMode="auto">
                          <a:xfrm>
                            <a:off x="0" y="0"/>
                            <a:ext cx="948055" cy="1024255"/>
                          </a:xfrm>
                          <a:prstGeom prst="rect">
                            <a:avLst/>
                          </a:prstGeom>
                          <a:solidFill>
                            <a:srgbClr val="FFFFFF"/>
                          </a:solidFill>
                          <a:ln w="9525">
                            <a:noFill/>
                            <a:miter lim="800000"/>
                            <a:headEnd/>
                            <a:tailEnd/>
                          </a:ln>
                        </pic:spPr>
                      </pic:pic>
                    </a:graphicData>
                  </a:graphic>
                </wp:anchor>
              </w:drawing>
            </w:r>
          </w:p>
        </w:tc>
        <w:tc>
          <w:tcPr>
            <w:tcW w:w="7439" w:type="dxa"/>
            <w:shd w:val="clear" w:color="auto" w:fill="auto"/>
          </w:tcPr>
          <w:p w:rsidR="00E14E2B" w:rsidRPr="00D6040F" w:rsidRDefault="00E14E2B" w:rsidP="00E14E2B">
            <w:pPr>
              <w:pStyle w:val="Nagwek1"/>
              <w:numPr>
                <w:ilvl w:val="0"/>
                <w:numId w:val="2"/>
              </w:numPr>
              <w:tabs>
                <w:tab w:val="left" w:pos="360"/>
              </w:tabs>
              <w:snapToGrid w:val="0"/>
              <w:jc w:val="center"/>
              <w:rPr>
                <w:sz w:val="21"/>
                <w:szCs w:val="21"/>
              </w:rPr>
            </w:pPr>
          </w:p>
          <w:p w:rsidR="00E14E2B" w:rsidRPr="00D6040F" w:rsidRDefault="00E14E2B" w:rsidP="00E14E2B">
            <w:pPr>
              <w:pStyle w:val="Nagwek1"/>
              <w:numPr>
                <w:ilvl w:val="0"/>
                <w:numId w:val="2"/>
              </w:numPr>
              <w:tabs>
                <w:tab w:val="left" w:pos="360"/>
              </w:tabs>
              <w:snapToGrid w:val="0"/>
              <w:jc w:val="center"/>
              <w:rPr>
                <w:sz w:val="21"/>
                <w:szCs w:val="21"/>
              </w:rPr>
            </w:pPr>
            <w:r w:rsidRPr="00D6040F">
              <w:rPr>
                <w:rFonts w:ascii="Calibri" w:hAnsi="Calibri" w:cs="Calibri"/>
                <w:bCs w:val="0"/>
                <w:sz w:val="21"/>
                <w:szCs w:val="21"/>
              </w:rPr>
              <w:t>URZĄD MIEJSKI W WOŁOWIE</w:t>
            </w:r>
          </w:p>
        </w:tc>
      </w:tr>
      <w:tr w:rsidR="00E14E2B" w:rsidRPr="00D6040F" w:rsidTr="00E14E2B">
        <w:trPr>
          <w:trHeight w:val="1568"/>
        </w:trPr>
        <w:tc>
          <w:tcPr>
            <w:tcW w:w="1771" w:type="dxa"/>
            <w:vMerge/>
            <w:shd w:val="clear" w:color="auto" w:fill="auto"/>
            <w:vAlign w:val="center"/>
          </w:tcPr>
          <w:p w:rsidR="00E14E2B" w:rsidRPr="00D6040F" w:rsidRDefault="00E14E2B" w:rsidP="00E14E2B">
            <w:pPr>
              <w:snapToGrid w:val="0"/>
              <w:spacing w:after="0"/>
              <w:rPr>
                <w:rFonts w:cs="Calibri"/>
                <w:sz w:val="21"/>
                <w:szCs w:val="21"/>
              </w:rPr>
            </w:pPr>
          </w:p>
        </w:tc>
        <w:tc>
          <w:tcPr>
            <w:tcW w:w="7439" w:type="dxa"/>
            <w:shd w:val="clear" w:color="auto" w:fill="auto"/>
          </w:tcPr>
          <w:p w:rsidR="00E14E2B" w:rsidRPr="00D6040F" w:rsidRDefault="00E14E2B" w:rsidP="00E14E2B">
            <w:pPr>
              <w:snapToGrid w:val="0"/>
              <w:spacing w:after="0"/>
              <w:jc w:val="both"/>
              <w:rPr>
                <w:rFonts w:cs="Calibri"/>
                <w:sz w:val="21"/>
                <w:szCs w:val="21"/>
              </w:rPr>
            </w:pPr>
            <w:r w:rsidRPr="00D6040F">
              <w:rPr>
                <w:rFonts w:cs="Calibri"/>
                <w:sz w:val="21"/>
                <w:szCs w:val="21"/>
              </w:rPr>
              <w:t>tel. (071) 319 13 05                                                Rynek 34</w:t>
            </w:r>
          </w:p>
          <w:p w:rsidR="00E14E2B" w:rsidRPr="00D6040F" w:rsidRDefault="00E14E2B" w:rsidP="00E14E2B">
            <w:pPr>
              <w:spacing w:after="0"/>
              <w:jc w:val="both"/>
              <w:rPr>
                <w:rFonts w:cs="Calibri"/>
                <w:sz w:val="21"/>
                <w:szCs w:val="21"/>
                <w:lang w:val="de-DE"/>
              </w:rPr>
            </w:pPr>
            <w:proofErr w:type="spellStart"/>
            <w:r w:rsidRPr="00D6040F">
              <w:rPr>
                <w:rFonts w:cs="Calibri"/>
                <w:sz w:val="21"/>
                <w:szCs w:val="21"/>
              </w:rPr>
              <w:t>fax</w:t>
            </w:r>
            <w:proofErr w:type="spellEnd"/>
            <w:r w:rsidRPr="00D6040F">
              <w:rPr>
                <w:rFonts w:cs="Calibri"/>
                <w:sz w:val="21"/>
                <w:szCs w:val="21"/>
              </w:rPr>
              <w:t xml:space="preserve"> (071) 319 13 03                                                56-100 Wołów</w:t>
            </w:r>
          </w:p>
          <w:p w:rsidR="00E14E2B" w:rsidRPr="00D6040F" w:rsidRDefault="00E14E2B" w:rsidP="00E14E2B">
            <w:pPr>
              <w:spacing w:after="0"/>
              <w:jc w:val="both"/>
              <w:rPr>
                <w:sz w:val="21"/>
                <w:szCs w:val="21"/>
              </w:rPr>
            </w:pPr>
            <w:r w:rsidRPr="00D6040F">
              <w:rPr>
                <w:rFonts w:cs="Calibri"/>
                <w:sz w:val="21"/>
                <w:szCs w:val="21"/>
                <w:lang w:val="de-DE"/>
              </w:rPr>
              <w:t>e-</w:t>
            </w:r>
            <w:proofErr w:type="spellStart"/>
            <w:r w:rsidRPr="00D6040F">
              <w:rPr>
                <w:rFonts w:cs="Calibri"/>
                <w:sz w:val="21"/>
                <w:szCs w:val="21"/>
                <w:lang w:val="de-DE"/>
              </w:rPr>
              <w:t>mail</w:t>
            </w:r>
            <w:proofErr w:type="spellEnd"/>
            <w:r w:rsidRPr="00D6040F">
              <w:rPr>
                <w:rFonts w:cs="Calibri"/>
                <w:sz w:val="21"/>
                <w:szCs w:val="21"/>
                <w:lang w:val="de-DE"/>
              </w:rPr>
              <w:t xml:space="preserve">: sekretariat@wolow.pl                       </w:t>
            </w:r>
          </w:p>
          <w:p w:rsidR="00E14E2B" w:rsidRPr="00D6040F" w:rsidRDefault="00854FC9" w:rsidP="00E14E2B">
            <w:pPr>
              <w:spacing w:after="0"/>
              <w:jc w:val="both"/>
              <w:rPr>
                <w:rFonts w:cs="Calibri"/>
                <w:sz w:val="21"/>
                <w:szCs w:val="21"/>
              </w:rPr>
            </w:pPr>
            <w:hyperlink r:id="rId6" w:history="1">
              <w:r w:rsidR="00E14E2B" w:rsidRPr="00D6040F">
                <w:rPr>
                  <w:rStyle w:val="Hipercze"/>
                  <w:rFonts w:cs="Calibri"/>
                  <w:sz w:val="21"/>
                  <w:szCs w:val="21"/>
                </w:rPr>
                <w:t>www.wolow.pl</w:t>
              </w:r>
            </w:hyperlink>
          </w:p>
          <w:p w:rsidR="00E14E2B" w:rsidRPr="00D6040F" w:rsidRDefault="00E14E2B" w:rsidP="00E14E2B">
            <w:pPr>
              <w:spacing w:after="0"/>
              <w:jc w:val="both"/>
              <w:rPr>
                <w:rFonts w:cs="Calibri"/>
                <w:sz w:val="21"/>
                <w:szCs w:val="21"/>
              </w:rPr>
            </w:pPr>
          </w:p>
        </w:tc>
      </w:tr>
      <w:tr w:rsidR="00E14E2B" w:rsidRPr="00D6040F" w:rsidTr="00E14E2B">
        <w:trPr>
          <w:trHeight w:val="207"/>
        </w:trPr>
        <w:tc>
          <w:tcPr>
            <w:tcW w:w="9210" w:type="dxa"/>
            <w:gridSpan w:val="2"/>
            <w:shd w:val="clear" w:color="auto" w:fill="auto"/>
          </w:tcPr>
          <w:p w:rsidR="00E14E2B" w:rsidRPr="00D6040F" w:rsidRDefault="00854FC9" w:rsidP="00E14E2B">
            <w:pPr>
              <w:snapToGrid w:val="0"/>
              <w:spacing w:after="0"/>
              <w:rPr>
                <w:rFonts w:ascii="Arial" w:hAnsi="Arial" w:cs="Arial"/>
                <w:sz w:val="21"/>
                <w:szCs w:val="21"/>
              </w:rPr>
            </w:pPr>
            <w:r w:rsidRPr="00854FC9">
              <w:rPr>
                <w:sz w:val="21"/>
                <w:szCs w:val="21"/>
              </w:rPr>
              <w:pict>
                <v:line id="_x0000_s1026" style="position:absolute;z-index:251660288;mso-position-horizontal-relative:text;mso-position-vertical-relative:text" from="-2.75pt,8.1pt" to="456.25pt,8.1pt" strokeweight=".26mm">
                  <v:stroke joinstyle="miter" endcap="square"/>
                </v:line>
              </w:pict>
            </w:r>
          </w:p>
        </w:tc>
      </w:tr>
    </w:tbl>
    <w:p w:rsidR="00E14E2B" w:rsidRPr="005D4EE2" w:rsidRDefault="00E14E2B" w:rsidP="00E14E2B">
      <w:pPr>
        <w:pStyle w:val="Default"/>
        <w:spacing w:line="312" w:lineRule="auto"/>
        <w:jc w:val="both"/>
        <w:rPr>
          <w:rFonts w:ascii="Calibri" w:hAnsi="Calibri" w:cs="Calibri"/>
          <w:color w:val="auto"/>
          <w:sz w:val="21"/>
          <w:szCs w:val="21"/>
        </w:rPr>
      </w:pPr>
      <w:r w:rsidRPr="005D4EE2">
        <w:rPr>
          <w:rFonts w:ascii="Calibri" w:hAnsi="Calibri" w:cs="Calibri"/>
          <w:color w:val="auto"/>
          <w:sz w:val="21"/>
          <w:szCs w:val="21"/>
        </w:rPr>
        <w:t>WZ</w:t>
      </w:r>
      <w:r w:rsidR="00D6040F" w:rsidRPr="005D4EE2">
        <w:rPr>
          <w:rFonts w:ascii="Calibri" w:hAnsi="Calibri" w:cs="Calibri"/>
          <w:color w:val="auto"/>
          <w:sz w:val="21"/>
          <w:szCs w:val="21"/>
        </w:rPr>
        <w:t>P.271.5.2021</w:t>
      </w:r>
      <w:r w:rsidR="00D6040F" w:rsidRPr="005D4EE2">
        <w:rPr>
          <w:rFonts w:ascii="Calibri" w:hAnsi="Calibri" w:cs="Calibri"/>
          <w:color w:val="auto"/>
          <w:sz w:val="21"/>
          <w:szCs w:val="21"/>
        </w:rPr>
        <w:tab/>
      </w:r>
      <w:r w:rsidR="00D6040F" w:rsidRPr="005D4EE2">
        <w:rPr>
          <w:rFonts w:ascii="Calibri" w:hAnsi="Calibri" w:cs="Calibri"/>
          <w:color w:val="auto"/>
          <w:sz w:val="21"/>
          <w:szCs w:val="21"/>
        </w:rPr>
        <w:tab/>
      </w:r>
      <w:r w:rsidR="00D6040F" w:rsidRPr="005D4EE2">
        <w:rPr>
          <w:rFonts w:ascii="Calibri" w:hAnsi="Calibri" w:cs="Calibri"/>
          <w:color w:val="auto"/>
          <w:sz w:val="21"/>
          <w:szCs w:val="21"/>
        </w:rPr>
        <w:tab/>
      </w:r>
      <w:r w:rsidR="00D6040F" w:rsidRPr="005D4EE2">
        <w:rPr>
          <w:rFonts w:ascii="Calibri" w:hAnsi="Calibri" w:cs="Calibri"/>
          <w:color w:val="auto"/>
          <w:sz w:val="21"/>
          <w:szCs w:val="21"/>
        </w:rPr>
        <w:tab/>
      </w:r>
      <w:r w:rsidR="00D6040F" w:rsidRPr="005D4EE2">
        <w:rPr>
          <w:rFonts w:ascii="Calibri" w:hAnsi="Calibri" w:cs="Calibri"/>
          <w:color w:val="auto"/>
          <w:sz w:val="21"/>
          <w:szCs w:val="21"/>
        </w:rPr>
        <w:tab/>
      </w:r>
      <w:r w:rsidR="00D6040F" w:rsidRPr="005D4EE2">
        <w:rPr>
          <w:rFonts w:ascii="Calibri" w:hAnsi="Calibri" w:cs="Calibri"/>
          <w:color w:val="auto"/>
          <w:sz w:val="21"/>
          <w:szCs w:val="21"/>
        </w:rPr>
        <w:tab/>
      </w:r>
      <w:r w:rsidR="00D6040F" w:rsidRPr="005D4EE2">
        <w:rPr>
          <w:rFonts w:ascii="Calibri" w:hAnsi="Calibri" w:cs="Calibri"/>
          <w:color w:val="auto"/>
          <w:sz w:val="21"/>
          <w:szCs w:val="21"/>
        </w:rPr>
        <w:tab/>
        <w:t>Wołów, dn. 2</w:t>
      </w:r>
      <w:r w:rsidR="009F0C11">
        <w:rPr>
          <w:rFonts w:ascii="Calibri" w:hAnsi="Calibri" w:cs="Calibri"/>
          <w:color w:val="auto"/>
          <w:sz w:val="21"/>
          <w:szCs w:val="21"/>
        </w:rPr>
        <w:t>4</w:t>
      </w:r>
      <w:r w:rsidRPr="005D4EE2">
        <w:rPr>
          <w:rFonts w:ascii="Calibri" w:hAnsi="Calibri" w:cs="Calibri"/>
          <w:color w:val="auto"/>
          <w:sz w:val="21"/>
          <w:szCs w:val="21"/>
        </w:rPr>
        <w:t>.05.2021 r.</w:t>
      </w:r>
    </w:p>
    <w:p w:rsidR="00E14E2B" w:rsidRPr="005D4EE2" w:rsidRDefault="00E14E2B" w:rsidP="00E14E2B">
      <w:pPr>
        <w:pStyle w:val="Default"/>
        <w:spacing w:line="312" w:lineRule="auto"/>
        <w:jc w:val="center"/>
        <w:rPr>
          <w:rFonts w:ascii="Calibri" w:hAnsi="Calibri" w:cs="Calibri"/>
          <w:color w:val="auto"/>
          <w:sz w:val="21"/>
          <w:szCs w:val="21"/>
        </w:rPr>
      </w:pPr>
    </w:p>
    <w:p w:rsidR="00E14E2B" w:rsidRPr="005D4EE2" w:rsidRDefault="00E14E2B" w:rsidP="00E14E2B">
      <w:pPr>
        <w:pStyle w:val="Default"/>
        <w:spacing w:line="312" w:lineRule="auto"/>
        <w:jc w:val="center"/>
        <w:rPr>
          <w:rFonts w:ascii="Calibri" w:hAnsi="Calibri" w:cs="Calibri"/>
          <w:b/>
          <w:color w:val="auto"/>
          <w:sz w:val="21"/>
          <w:szCs w:val="21"/>
        </w:rPr>
      </w:pPr>
      <w:r w:rsidRPr="005D4EE2">
        <w:rPr>
          <w:rFonts w:ascii="Calibri" w:hAnsi="Calibri" w:cs="Calibri"/>
          <w:b/>
          <w:color w:val="auto"/>
          <w:sz w:val="21"/>
          <w:szCs w:val="21"/>
        </w:rPr>
        <w:t>WYJAŚNIENIA TREŚCI SWZ</w:t>
      </w:r>
    </w:p>
    <w:p w:rsidR="00E14E2B" w:rsidRPr="005D4EE2" w:rsidRDefault="00E14E2B" w:rsidP="00E14E2B">
      <w:pPr>
        <w:spacing w:after="0" w:line="312" w:lineRule="auto"/>
        <w:jc w:val="center"/>
        <w:rPr>
          <w:rFonts w:cs="Calibri"/>
          <w:sz w:val="21"/>
          <w:szCs w:val="21"/>
        </w:rPr>
      </w:pPr>
      <w:r w:rsidRPr="005D4EE2">
        <w:rPr>
          <w:rFonts w:cs="Calibri"/>
          <w:sz w:val="21"/>
          <w:szCs w:val="21"/>
        </w:rPr>
        <w:t>dot.: postępowania o udzielenie zamówienia publicznego. Numer sprawy: WZP.271.5.2021</w:t>
      </w:r>
    </w:p>
    <w:p w:rsidR="00E14E2B" w:rsidRPr="005D4EE2" w:rsidRDefault="00E14E2B" w:rsidP="00E14E2B">
      <w:pPr>
        <w:widowControl w:val="0"/>
        <w:autoSpaceDE w:val="0"/>
        <w:spacing w:after="0" w:line="312" w:lineRule="auto"/>
        <w:jc w:val="center"/>
        <w:rPr>
          <w:rFonts w:cs="Calibri"/>
          <w:b/>
          <w:i/>
          <w:iCs/>
          <w:sz w:val="21"/>
          <w:szCs w:val="21"/>
        </w:rPr>
      </w:pPr>
      <w:r w:rsidRPr="005D4EE2">
        <w:rPr>
          <w:rFonts w:eastAsia="Segoe Print" w:cs="Calibri"/>
          <w:bCs/>
          <w:iCs/>
          <w:sz w:val="21"/>
          <w:szCs w:val="21"/>
          <w:shd w:val="clear" w:color="auto" w:fill="FFFFFF"/>
        </w:rPr>
        <w:t>Nazwa zadania: „</w:t>
      </w:r>
      <w:r w:rsidRPr="005D4EE2">
        <w:rPr>
          <w:rFonts w:cs="Calibri"/>
          <w:b/>
          <w:i/>
          <w:iCs/>
          <w:sz w:val="21"/>
          <w:szCs w:val="21"/>
        </w:rPr>
        <w:t>Budowa Śródmiejskiego Obejścia Wołowa (ŚOW) wraz z wiaduktem nad linią kolejow</w:t>
      </w:r>
      <w:r w:rsidR="009F0C11">
        <w:rPr>
          <w:rFonts w:cs="Calibri"/>
          <w:b/>
          <w:i/>
          <w:iCs/>
          <w:sz w:val="21"/>
          <w:szCs w:val="21"/>
        </w:rPr>
        <w:t>ą nr 273 - zaprojektuj i zbuduj”.</w:t>
      </w:r>
    </w:p>
    <w:p w:rsidR="00E14E2B" w:rsidRPr="005D4EE2" w:rsidRDefault="00E14E2B" w:rsidP="00E14E2B">
      <w:pPr>
        <w:autoSpaceDE w:val="0"/>
        <w:autoSpaceDN w:val="0"/>
        <w:adjustRightInd w:val="0"/>
        <w:spacing w:after="0" w:line="312" w:lineRule="auto"/>
        <w:rPr>
          <w:rFonts w:cs="Calibri"/>
          <w:sz w:val="21"/>
          <w:szCs w:val="21"/>
        </w:rPr>
      </w:pPr>
    </w:p>
    <w:p w:rsidR="00E14E2B" w:rsidRPr="005D4EE2" w:rsidRDefault="00E14E2B" w:rsidP="00CB42ED">
      <w:pPr>
        <w:autoSpaceDE w:val="0"/>
        <w:autoSpaceDN w:val="0"/>
        <w:adjustRightInd w:val="0"/>
        <w:spacing w:after="0" w:line="312" w:lineRule="auto"/>
        <w:jc w:val="both"/>
        <w:rPr>
          <w:rFonts w:cs="Calibri"/>
          <w:sz w:val="21"/>
          <w:szCs w:val="21"/>
        </w:rPr>
      </w:pPr>
      <w:r w:rsidRPr="005D4EE2">
        <w:rPr>
          <w:rFonts w:cs="Calibri"/>
          <w:sz w:val="21"/>
          <w:szCs w:val="21"/>
        </w:rPr>
        <w:t>Zamawiający informuje, że w terminie określonym zgodnie z art. 284 ust. 2 ustawy z 11 września 2019 r. – Prawo zamówień publicznych (</w:t>
      </w:r>
      <w:proofErr w:type="spellStart"/>
      <w:r w:rsidRPr="005D4EE2">
        <w:rPr>
          <w:rFonts w:cs="Calibri"/>
          <w:sz w:val="21"/>
          <w:szCs w:val="21"/>
        </w:rPr>
        <w:t>Dz.U</w:t>
      </w:r>
      <w:proofErr w:type="spellEnd"/>
      <w:r w:rsidRPr="005D4EE2">
        <w:rPr>
          <w:rFonts w:cs="Calibri"/>
          <w:sz w:val="21"/>
          <w:szCs w:val="21"/>
        </w:rPr>
        <w:t xml:space="preserve">. poz. 2019 ze zm.) – dalej: ustawa </w:t>
      </w:r>
      <w:proofErr w:type="spellStart"/>
      <w:r w:rsidRPr="005D4EE2">
        <w:rPr>
          <w:rFonts w:cs="Calibri"/>
          <w:sz w:val="21"/>
          <w:szCs w:val="21"/>
        </w:rPr>
        <w:t>Pzp</w:t>
      </w:r>
      <w:proofErr w:type="spellEnd"/>
      <w:r w:rsidRPr="005D4EE2">
        <w:rPr>
          <w:rFonts w:cs="Calibri"/>
          <w:sz w:val="21"/>
          <w:szCs w:val="21"/>
        </w:rPr>
        <w:t>, Wykonawcy zwrócili się do Zamawiającego z wnioskiem o wyjaśnienie treści SWZ.</w:t>
      </w:r>
    </w:p>
    <w:p w:rsidR="00E14E2B" w:rsidRPr="005D4EE2" w:rsidRDefault="00E14E2B" w:rsidP="00CB42ED">
      <w:pPr>
        <w:autoSpaceDE w:val="0"/>
        <w:autoSpaceDN w:val="0"/>
        <w:adjustRightInd w:val="0"/>
        <w:spacing w:after="0" w:line="312" w:lineRule="auto"/>
        <w:jc w:val="both"/>
        <w:rPr>
          <w:rFonts w:cs="Calibri"/>
          <w:sz w:val="21"/>
          <w:szCs w:val="21"/>
        </w:rPr>
      </w:pPr>
    </w:p>
    <w:p w:rsidR="00E14E2B" w:rsidRPr="005D4EE2" w:rsidRDefault="00E14E2B" w:rsidP="00CB42ED">
      <w:pPr>
        <w:pStyle w:val="Default"/>
        <w:spacing w:line="312" w:lineRule="auto"/>
        <w:jc w:val="both"/>
        <w:rPr>
          <w:rFonts w:ascii="Calibri" w:hAnsi="Calibri" w:cs="Calibri"/>
          <w:color w:val="auto"/>
          <w:sz w:val="21"/>
          <w:szCs w:val="21"/>
        </w:rPr>
      </w:pPr>
      <w:r w:rsidRPr="005D4EE2">
        <w:rPr>
          <w:rFonts w:ascii="Calibri" w:hAnsi="Calibri" w:cs="Calibri"/>
          <w:color w:val="auto"/>
          <w:sz w:val="21"/>
          <w:szCs w:val="21"/>
        </w:rPr>
        <w:t>W związku z powyższym, zamawiający udziela następujących wyjaśnień:</w:t>
      </w:r>
    </w:p>
    <w:p w:rsidR="00BF0CE0" w:rsidRPr="005D4EE2" w:rsidRDefault="00BF0CE0" w:rsidP="00CB42ED">
      <w:pPr>
        <w:spacing w:after="0" w:line="312" w:lineRule="auto"/>
        <w:rPr>
          <w:sz w:val="21"/>
          <w:szCs w:val="21"/>
        </w:rPr>
      </w:pPr>
    </w:p>
    <w:p w:rsidR="00E14E2B" w:rsidRPr="005D4EE2" w:rsidRDefault="00E14E2B" w:rsidP="00EE2CF8">
      <w:pPr>
        <w:spacing w:after="0" w:line="312" w:lineRule="auto"/>
        <w:jc w:val="both"/>
        <w:rPr>
          <w:b/>
          <w:sz w:val="21"/>
          <w:szCs w:val="21"/>
        </w:rPr>
      </w:pPr>
      <w:r w:rsidRPr="005D4EE2">
        <w:rPr>
          <w:b/>
          <w:sz w:val="21"/>
          <w:szCs w:val="21"/>
        </w:rPr>
        <w:t>Pytanie nr 1</w:t>
      </w:r>
    </w:p>
    <w:p w:rsidR="00E14E2B" w:rsidRPr="005D4EE2" w:rsidRDefault="00391276" w:rsidP="00EE2CF8">
      <w:pPr>
        <w:spacing w:after="0" w:line="312" w:lineRule="auto"/>
        <w:jc w:val="both"/>
        <w:rPr>
          <w:b/>
          <w:sz w:val="21"/>
          <w:szCs w:val="21"/>
        </w:rPr>
      </w:pPr>
      <w:r w:rsidRPr="005D4EE2">
        <w:rPr>
          <w:b/>
          <w:sz w:val="21"/>
          <w:szCs w:val="21"/>
        </w:rPr>
        <w:t>Czy istniejąca bocznica kolejowa została zlikwidowania teren jest w dyspozycji Gminy?</w:t>
      </w:r>
    </w:p>
    <w:p w:rsidR="00CB42ED" w:rsidRPr="005D4EE2" w:rsidRDefault="00CB42ED" w:rsidP="00EE2CF8">
      <w:pPr>
        <w:spacing w:after="0" w:line="312" w:lineRule="auto"/>
        <w:jc w:val="both"/>
        <w:rPr>
          <w:sz w:val="21"/>
          <w:szCs w:val="21"/>
        </w:rPr>
      </w:pPr>
    </w:p>
    <w:p w:rsidR="00E14E2B" w:rsidRPr="005D4EE2" w:rsidRDefault="00E14E2B" w:rsidP="00EE2CF8">
      <w:pPr>
        <w:spacing w:after="0" w:line="312" w:lineRule="auto"/>
        <w:jc w:val="both"/>
        <w:rPr>
          <w:sz w:val="21"/>
          <w:szCs w:val="21"/>
        </w:rPr>
      </w:pPr>
      <w:r w:rsidRPr="005D4EE2">
        <w:rPr>
          <w:sz w:val="21"/>
          <w:szCs w:val="21"/>
        </w:rPr>
        <w:t>Odpowiedź nr 1</w:t>
      </w:r>
    </w:p>
    <w:p w:rsidR="00B934E9" w:rsidRPr="005D4EE2" w:rsidRDefault="00391276" w:rsidP="00EE2CF8">
      <w:pPr>
        <w:spacing w:after="0" w:line="312" w:lineRule="auto"/>
        <w:jc w:val="both"/>
        <w:rPr>
          <w:sz w:val="21"/>
          <w:szCs w:val="21"/>
        </w:rPr>
      </w:pPr>
      <w:r w:rsidRPr="005D4EE2">
        <w:rPr>
          <w:sz w:val="21"/>
          <w:szCs w:val="21"/>
        </w:rPr>
        <w:t>Znaczna część bocznicy tj. dz. nr 265 AM-1, obręb Piotroniowice, stanowi własność Gminy Wołów. Pozostała część stanowi własność PKP S.A. Bocznica nie jest użytkowana, na części gminnej nie ma już elementów torowiska.</w:t>
      </w:r>
    </w:p>
    <w:p w:rsidR="00391276" w:rsidRPr="005D4EE2" w:rsidRDefault="00391276" w:rsidP="00EE2CF8">
      <w:pPr>
        <w:spacing w:after="0" w:line="312" w:lineRule="auto"/>
        <w:jc w:val="both"/>
        <w:rPr>
          <w:sz w:val="21"/>
          <w:szCs w:val="21"/>
        </w:rPr>
      </w:pPr>
    </w:p>
    <w:p w:rsidR="003B010B" w:rsidRPr="005D4EE2" w:rsidRDefault="003B010B" w:rsidP="00EE2CF8">
      <w:pPr>
        <w:spacing w:after="0" w:line="312" w:lineRule="auto"/>
        <w:jc w:val="both"/>
        <w:rPr>
          <w:b/>
          <w:sz w:val="21"/>
          <w:szCs w:val="21"/>
        </w:rPr>
      </w:pPr>
      <w:r w:rsidRPr="005D4EE2">
        <w:rPr>
          <w:b/>
          <w:sz w:val="21"/>
          <w:szCs w:val="21"/>
        </w:rPr>
        <w:t>Pytanie nr 2</w:t>
      </w:r>
    </w:p>
    <w:p w:rsidR="005D4EE2" w:rsidRPr="005D4EE2" w:rsidRDefault="00391276" w:rsidP="00EE2CF8">
      <w:pPr>
        <w:spacing w:after="0" w:line="312" w:lineRule="auto"/>
        <w:jc w:val="both"/>
        <w:rPr>
          <w:b/>
          <w:sz w:val="21"/>
          <w:szCs w:val="21"/>
        </w:rPr>
      </w:pPr>
      <w:r w:rsidRPr="005D4EE2">
        <w:rPr>
          <w:b/>
          <w:sz w:val="21"/>
          <w:szCs w:val="21"/>
        </w:rPr>
        <w:t xml:space="preserve">Czy Zamawiający przewidział możliwość wyłączenia z ruchu linii kolejowej Wrocław – szczecin na czas niezbędny do wykonania konstrukcji przęsła wiaduktu? </w:t>
      </w:r>
    </w:p>
    <w:p w:rsidR="00391276" w:rsidRPr="005D4EE2" w:rsidRDefault="005D4EE2" w:rsidP="00EE2CF8">
      <w:pPr>
        <w:spacing w:after="0" w:line="312" w:lineRule="auto"/>
        <w:jc w:val="both"/>
        <w:rPr>
          <w:b/>
          <w:sz w:val="21"/>
          <w:szCs w:val="21"/>
        </w:rPr>
      </w:pPr>
      <w:r w:rsidRPr="005D4EE2">
        <w:rPr>
          <w:b/>
          <w:sz w:val="21"/>
          <w:szCs w:val="21"/>
        </w:rPr>
        <w:t xml:space="preserve"> </w:t>
      </w:r>
      <w:r w:rsidR="00391276" w:rsidRPr="005D4EE2">
        <w:rPr>
          <w:b/>
          <w:sz w:val="21"/>
          <w:szCs w:val="21"/>
        </w:rPr>
        <w:t>Czy Zamawiający w swoim zakresie poniesie koszty ewentualnego ruchu zastępczego?</w:t>
      </w:r>
    </w:p>
    <w:p w:rsidR="00EE2CF8" w:rsidRPr="005D4EE2" w:rsidRDefault="00EE2CF8" w:rsidP="00EE2CF8">
      <w:pPr>
        <w:spacing w:after="0" w:line="312" w:lineRule="auto"/>
        <w:jc w:val="both"/>
        <w:rPr>
          <w:sz w:val="21"/>
          <w:szCs w:val="21"/>
        </w:rPr>
      </w:pPr>
    </w:p>
    <w:p w:rsidR="003B010B" w:rsidRPr="005D4EE2" w:rsidRDefault="003B010B" w:rsidP="00EE2CF8">
      <w:pPr>
        <w:spacing w:after="0" w:line="312" w:lineRule="auto"/>
        <w:jc w:val="both"/>
        <w:rPr>
          <w:sz w:val="21"/>
          <w:szCs w:val="21"/>
        </w:rPr>
      </w:pPr>
      <w:r w:rsidRPr="005D4EE2">
        <w:rPr>
          <w:sz w:val="21"/>
          <w:szCs w:val="21"/>
        </w:rPr>
        <w:t>Odpowiedź nr 2</w:t>
      </w:r>
    </w:p>
    <w:p w:rsidR="00B934E9" w:rsidRPr="005D4EE2" w:rsidRDefault="00B117A6" w:rsidP="00EE2CF8">
      <w:pPr>
        <w:spacing w:after="0" w:line="312" w:lineRule="auto"/>
        <w:jc w:val="both"/>
        <w:rPr>
          <w:sz w:val="21"/>
          <w:szCs w:val="21"/>
        </w:rPr>
      </w:pPr>
      <w:r w:rsidRPr="005D4EE2">
        <w:rPr>
          <w:sz w:val="21"/>
          <w:szCs w:val="21"/>
        </w:rPr>
        <w:t>Zamawiający nie przewidywał takiej możliwości. Taka ewentualność może pojawić się na etapie uzgodnień rozwiązań projektowych z PKP. Dokumenty jakie są w chwili obecnej w posiadaniu Zamawiającego na to nie wskazują. Ewentualne koszty, związane z koniecznością wyłączenia z ruchu linii kolejowej Wrocław-Szczecin pozostają po stronie Wykonawcy robót budowlanych.</w:t>
      </w:r>
    </w:p>
    <w:p w:rsidR="005D4EE2" w:rsidRDefault="005D4EE2" w:rsidP="00EE2CF8">
      <w:pPr>
        <w:spacing w:after="0" w:line="312" w:lineRule="auto"/>
        <w:jc w:val="both"/>
        <w:rPr>
          <w:b/>
          <w:sz w:val="21"/>
          <w:szCs w:val="21"/>
        </w:rPr>
      </w:pPr>
    </w:p>
    <w:p w:rsidR="009F0C11" w:rsidRDefault="009F0C11" w:rsidP="00EE2CF8">
      <w:pPr>
        <w:spacing w:after="0" w:line="312" w:lineRule="auto"/>
        <w:jc w:val="both"/>
        <w:rPr>
          <w:b/>
          <w:sz w:val="21"/>
          <w:szCs w:val="21"/>
        </w:rPr>
      </w:pPr>
    </w:p>
    <w:p w:rsidR="009F0C11" w:rsidRDefault="009F0C11" w:rsidP="00EE2CF8">
      <w:pPr>
        <w:spacing w:after="0" w:line="312" w:lineRule="auto"/>
        <w:jc w:val="both"/>
        <w:rPr>
          <w:b/>
          <w:sz w:val="21"/>
          <w:szCs w:val="21"/>
        </w:rPr>
      </w:pPr>
    </w:p>
    <w:p w:rsidR="009F0C11" w:rsidRDefault="009F0C11" w:rsidP="00EE2CF8">
      <w:pPr>
        <w:spacing w:after="0" w:line="312" w:lineRule="auto"/>
        <w:jc w:val="both"/>
        <w:rPr>
          <w:b/>
          <w:sz w:val="21"/>
          <w:szCs w:val="21"/>
        </w:rPr>
      </w:pPr>
    </w:p>
    <w:p w:rsidR="00D6040F" w:rsidRPr="005D4EE2" w:rsidRDefault="00D6040F" w:rsidP="00EE2CF8">
      <w:pPr>
        <w:spacing w:after="0" w:line="312" w:lineRule="auto"/>
        <w:jc w:val="both"/>
        <w:rPr>
          <w:b/>
          <w:sz w:val="21"/>
          <w:szCs w:val="21"/>
        </w:rPr>
      </w:pPr>
      <w:r w:rsidRPr="005D4EE2">
        <w:rPr>
          <w:b/>
          <w:sz w:val="21"/>
          <w:szCs w:val="21"/>
        </w:rPr>
        <w:lastRenderedPageBreak/>
        <w:t>Pytanie nr 3</w:t>
      </w:r>
    </w:p>
    <w:p w:rsidR="00E14E2B" w:rsidRPr="005D4EE2" w:rsidRDefault="00B117A6" w:rsidP="00EE2CF8">
      <w:pPr>
        <w:spacing w:after="0" w:line="312" w:lineRule="auto"/>
        <w:jc w:val="both"/>
        <w:rPr>
          <w:b/>
          <w:sz w:val="21"/>
          <w:szCs w:val="21"/>
        </w:rPr>
      </w:pPr>
      <w:r w:rsidRPr="005D4EE2">
        <w:rPr>
          <w:b/>
          <w:sz w:val="21"/>
          <w:szCs w:val="21"/>
        </w:rPr>
        <w:t>Jeśli obecnie nie ma decyzji środowiskowej, a po jej uzyskaniu wyniknie konieczność wykonania robót nieprzewidzianych w PFU i SWZ – prosimy o potwierdzenie, że koszt ich wykonania jest ryzykiem Zamawiającego.</w:t>
      </w:r>
    </w:p>
    <w:p w:rsidR="00EE2CF8" w:rsidRPr="005D4EE2" w:rsidRDefault="00EE2CF8" w:rsidP="00EE2CF8">
      <w:pPr>
        <w:spacing w:after="0" w:line="312" w:lineRule="auto"/>
        <w:jc w:val="both"/>
        <w:rPr>
          <w:sz w:val="21"/>
          <w:szCs w:val="21"/>
        </w:rPr>
      </w:pPr>
    </w:p>
    <w:p w:rsidR="00E14E2B" w:rsidRPr="005D4EE2" w:rsidRDefault="00D6040F" w:rsidP="00EE2CF8">
      <w:pPr>
        <w:spacing w:after="0" w:line="312" w:lineRule="auto"/>
        <w:jc w:val="both"/>
        <w:rPr>
          <w:sz w:val="21"/>
          <w:szCs w:val="21"/>
        </w:rPr>
      </w:pPr>
      <w:r w:rsidRPr="005D4EE2">
        <w:rPr>
          <w:sz w:val="21"/>
          <w:szCs w:val="21"/>
        </w:rPr>
        <w:t>Odpowiedź nr 3</w:t>
      </w:r>
    </w:p>
    <w:p w:rsidR="00B934E9" w:rsidRPr="005D4EE2" w:rsidRDefault="00B117A6" w:rsidP="00EE2CF8">
      <w:pPr>
        <w:spacing w:after="0" w:line="312" w:lineRule="auto"/>
        <w:jc w:val="both"/>
        <w:rPr>
          <w:sz w:val="21"/>
          <w:szCs w:val="21"/>
        </w:rPr>
      </w:pPr>
      <w:r w:rsidRPr="005D4EE2">
        <w:rPr>
          <w:sz w:val="21"/>
          <w:szCs w:val="21"/>
        </w:rPr>
        <w:t>Koszt wykonania robót dodatkowych, nieujętych w PFU i SWZ, wynikających z uzyskanej w trakcie realizacji dokumentacji projektowej decyzji środowiskowej, stanowi ryzyko Wykonawcy i powinien zostać przewidziany w ofercie.</w:t>
      </w:r>
    </w:p>
    <w:p w:rsidR="00B117A6" w:rsidRPr="005D4EE2" w:rsidRDefault="00B117A6" w:rsidP="00EE2CF8">
      <w:pPr>
        <w:spacing w:after="0" w:line="312" w:lineRule="auto"/>
        <w:jc w:val="both"/>
        <w:rPr>
          <w:sz w:val="21"/>
          <w:szCs w:val="21"/>
        </w:rPr>
      </w:pPr>
    </w:p>
    <w:p w:rsidR="00E14E2B" w:rsidRPr="005D4EE2" w:rsidRDefault="00D6040F" w:rsidP="00EE2CF8">
      <w:pPr>
        <w:spacing w:after="0" w:line="312" w:lineRule="auto"/>
        <w:jc w:val="both"/>
        <w:rPr>
          <w:b/>
          <w:sz w:val="21"/>
          <w:szCs w:val="21"/>
        </w:rPr>
      </w:pPr>
      <w:r w:rsidRPr="005D4EE2">
        <w:rPr>
          <w:b/>
          <w:sz w:val="21"/>
          <w:szCs w:val="21"/>
        </w:rPr>
        <w:t>Pytanie nr 4</w:t>
      </w:r>
    </w:p>
    <w:p w:rsidR="00D6040F" w:rsidRPr="005D4EE2" w:rsidRDefault="00B117A6" w:rsidP="00EE2CF8">
      <w:pPr>
        <w:spacing w:after="0" w:line="312" w:lineRule="auto"/>
        <w:jc w:val="both"/>
        <w:rPr>
          <w:b/>
          <w:sz w:val="21"/>
          <w:szCs w:val="21"/>
        </w:rPr>
      </w:pPr>
      <w:r w:rsidRPr="005D4EE2">
        <w:rPr>
          <w:b/>
          <w:sz w:val="21"/>
          <w:szCs w:val="21"/>
        </w:rPr>
        <w:t xml:space="preserve">Czy Wykonawca może zabezpieczyć przedmiotowy kontrakt w wysokości 3% w następujący sposób: </w:t>
      </w:r>
    </w:p>
    <w:p w:rsidR="00B117A6" w:rsidRPr="005D4EE2" w:rsidRDefault="00B117A6" w:rsidP="00EE2CF8">
      <w:pPr>
        <w:spacing w:after="0" w:line="312" w:lineRule="auto"/>
        <w:jc w:val="both"/>
        <w:rPr>
          <w:b/>
          <w:sz w:val="21"/>
          <w:szCs w:val="21"/>
        </w:rPr>
      </w:pPr>
      <w:r w:rsidRPr="005D4EE2">
        <w:rPr>
          <w:b/>
          <w:sz w:val="21"/>
          <w:szCs w:val="21"/>
        </w:rPr>
        <w:t xml:space="preserve"> - 70% gwarancja bankowa lub ubezpieczeniowa na okres prowadzenia robót budowlanych</w:t>
      </w:r>
    </w:p>
    <w:p w:rsidR="00B117A6" w:rsidRPr="005D4EE2" w:rsidRDefault="00B117A6" w:rsidP="00EE2CF8">
      <w:pPr>
        <w:spacing w:after="0" w:line="312" w:lineRule="auto"/>
        <w:jc w:val="both"/>
        <w:rPr>
          <w:b/>
          <w:sz w:val="21"/>
          <w:szCs w:val="21"/>
        </w:rPr>
      </w:pPr>
      <w:r w:rsidRPr="005D4EE2">
        <w:rPr>
          <w:b/>
          <w:sz w:val="21"/>
          <w:szCs w:val="21"/>
        </w:rPr>
        <w:t xml:space="preserve"> - 30% przelew na rachunek Zamawiającego na okres trwania gwarancji rękojmi.</w:t>
      </w:r>
    </w:p>
    <w:p w:rsidR="00B934E9" w:rsidRPr="005D4EE2" w:rsidRDefault="00B934E9" w:rsidP="00EE2CF8">
      <w:pPr>
        <w:spacing w:after="0" w:line="312" w:lineRule="auto"/>
        <w:jc w:val="both"/>
        <w:rPr>
          <w:sz w:val="21"/>
          <w:szCs w:val="21"/>
        </w:rPr>
      </w:pPr>
    </w:p>
    <w:p w:rsidR="00D6040F" w:rsidRPr="005D4EE2" w:rsidRDefault="00D6040F" w:rsidP="00EE2CF8">
      <w:pPr>
        <w:spacing w:after="0" w:line="312" w:lineRule="auto"/>
        <w:jc w:val="both"/>
        <w:rPr>
          <w:sz w:val="21"/>
          <w:szCs w:val="21"/>
        </w:rPr>
      </w:pPr>
      <w:r w:rsidRPr="005D4EE2">
        <w:rPr>
          <w:sz w:val="21"/>
          <w:szCs w:val="21"/>
        </w:rPr>
        <w:t>Odpowiedź nr 4</w:t>
      </w:r>
    </w:p>
    <w:p w:rsidR="00B934E9" w:rsidRPr="005D4EE2" w:rsidRDefault="0028797A" w:rsidP="00EE2CF8">
      <w:pPr>
        <w:autoSpaceDE w:val="0"/>
        <w:autoSpaceDN w:val="0"/>
        <w:adjustRightInd w:val="0"/>
        <w:spacing w:after="0" w:line="312" w:lineRule="auto"/>
        <w:jc w:val="both"/>
        <w:rPr>
          <w:sz w:val="21"/>
          <w:szCs w:val="21"/>
        </w:rPr>
      </w:pPr>
      <w:r w:rsidRPr="005D4EE2">
        <w:rPr>
          <w:sz w:val="21"/>
          <w:szCs w:val="21"/>
        </w:rPr>
        <w:t>Tak, Wykonawca może zabezpieczyć przedmioty kontrakt w jednej lub kilku formach o których mowa w art. 450 ust. 1.</w:t>
      </w:r>
    </w:p>
    <w:p w:rsidR="0028797A" w:rsidRPr="005D4EE2" w:rsidRDefault="0028797A" w:rsidP="00EE2CF8">
      <w:pPr>
        <w:autoSpaceDE w:val="0"/>
        <w:autoSpaceDN w:val="0"/>
        <w:adjustRightInd w:val="0"/>
        <w:spacing w:after="0" w:line="312" w:lineRule="auto"/>
        <w:jc w:val="both"/>
        <w:rPr>
          <w:b/>
          <w:sz w:val="21"/>
          <w:szCs w:val="21"/>
        </w:rPr>
      </w:pPr>
    </w:p>
    <w:p w:rsidR="0028797A" w:rsidRPr="005D4EE2" w:rsidRDefault="0028797A" w:rsidP="00EE2CF8">
      <w:pPr>
        <w:autoSpaceDE w:val="0"/>
        <w:autoSpaceDN w:val="0"/>
        <w:adjustRightInd w:val="0"/>
        <w:spacing w:after="0" w:line="312" w:lineRule="auto"/>
        <w:jc w:val="both"/>
        <w:rPr>
          <w:b/>
          <w:sz w:val="21"/>
          <w:szCs w:val="21"/>
        </w:rPr>
      </w:pPr>
      <w:r w:rsidRPr="005D4EE2">
        <w:rPr>
          <w:b/>
          <w:sz w:val="21"/>
          <w:szCs w:val="21"/>
        </w:rPr>
        <w:t>Pytanie nr 5</w:t>
      </w:r>
    </w:p>
    <w:p w:rsidR="0028797A" w:rsidRPr="005D4EE2" w:rsidRDefault="0028797A" w:rsidP="00EE2CF8">
      <w:pPr>
        <w:autoSpaceDE w:val="0"/>
        <w:autoSpaceDN w:val="0"/>
        <w:adjustRightInd w:val="0"/>
        <w:spacing w:after="0" w:line="312" w:lineRule="auto"/>
        <w:jc w:val="both"/>
        <w:rPr>
          <w:b/>
          <w:sz w:val="21"/>
          <w:szCs w:val="21"/>
        </w:rPr>
      </w:pPr>
      <w:r w:rsidRPr="005D4EE2">
        <w:rPr>
          <w:b/>
          <w:sz w:val="21"/>
          <w:szCs w:val="21"/>
        </w:rPr>
        <w:t xml:space="preserve">Jaki jest minimalny okres gwarancji, 48 miesięcy jak w zapisie SIWZ </w:t>
      </w:r>
      <w:proofErr w:type="spellStart"/>
      <w:r w:rsidRPr="005D4EE2">
        <w:rPr>
          <w:b/>
          <w:sz w:val="21"/>
          <w:szCs w:val="21"/>
        </w:rPr>
        <w:t>pkt</w:t>
      </w:r>
      <w:proofErr w:type="spellEnd"/>
      <w:r w:rsidRPr="005D4EE2">
        <w:rPr>
          <w:b/>
          <w:sz w:val="21"/>
          <w:szCs w:val="21"/>
        </w:rPr>
        <w:t xml:space="preserve"> III 9 , czy 60 miesięcy jak punkcie XIV 6. ?</w:t>
      </w:r>
    </w:p>
    <w:p w:rsidR="0028797A" w:rsidRPr="005D4EE2" w:rsidRDefault="0028797A" w:rsidP="00EE2CF8">
      <w:pPr>
        <w:autoSpaceDE w:val="0"/>
        <w:autoSpaceDN w:val="0"/>
        <w:adjustRightInd w:val="0"/>
        <w:spacing w:after="0" w:line="312" w:lineRule="auto"/>
        <w:jc w:val="both"/>
        <w:rPr>
          <w:b/>
          <w:sz w:val="21"/>
          <w:szCs w:val="21"/>
        </w:rPr>
      </w:pPr>
    </w:p>
    <w:p w:rsidR="0028797A" w:rsidRPr="005D4EE2" w:rsidRDefault="0028797A" w:rsidP="00EE2CF8">
      <w:pPr>
        <w:autoSpaceDE w:val="0"/>
        <w:autoSpaceDN w:val="0"/>
        <w:adjustRightInd w:val="0"/>
        <w:spacing w:after="0" w:line="312" w:lineRule="auto"/>
        <w:jc w:val="both"/>
        <w:rPr>
          <w:sz w:val="21"/>
          <w:szCs w:val="21"/>
        </w:rPr>
      </w:pPr>
      <w:r w:rsidRPr="005D4EE2">
        <w:rPr>
          <w:sz w:val="21"/>
          <w:szCs w:val="21"/>
        </w:rPr>
        <w:t>Odpowiedź nr 5</w:t>
      </w:r>
    </w:p>
    <w:p w:rsidR="007D3A31" w:rsidRPr="005D4EE2" w:rsidRDefault="007D3A31" w:rsidP="007D3A31">
      <w:pPr>
        <w:tabs>
          <w:tab w:val="left" w:pos="851"/>
        </w:tabs>
        <w:spacing w:after="0"/>
        <w:jc w:val="both"/>
        <w:rPr>
          <w:rFonts w:cs="Calibri"/>
          <w:sz w:val="21"/>
          <w:szCs w:val="21"/>
        </w:rPr>
      </w:pPr>
      <w:r w:rsidRPr="005D4EE2">
        <w:rPr>
          <w:sz w:val="21"/>
          <w:szCs w:val="21"/>
        </w:rPr>
        <w:t>Zamawiający udzielił wyjaśnień w powyższym zakresie w dniu 19.05.2021 r. które brzmią następująco: „</w:t>
      </w:r>
      <w:r w:rsidRPr="005D4EE2">
        <w:rPr>
          <w:rFonts w:cs="Calibri"/>
          <w:sz w:val="21"/>
          <w:szCs w:val="21"/>
        </w:rPr>
        <w:t xml:space="preserve">Zamawiający przyjmuje długość okresu gwarancyjnego jako minimum 60 miesięcy, natomiast każdy dodatkowy okres gwarancji oferowany w ramach ogłoszonego przetargu będzie dodatkowo punktowany, takie kryterium zostało przez Zamawiającego określone w ramach prowadzonego postępowania w rozdziale XIV SWZ „Opis kryteriów, którymi Zamawiający będzie się kierował przy wyborze oferty”. Jednocześnie Zamawiający ujednolica zapisy Rozdziału III pkt. 9) SWZ „Wykonawca udziela gwarancji na wykonane roboty budowlane. Minimalny okres gwarancji ustala się na 60 miesięcy.”. </w:t>
      </w:r>
    </w:p>
    <w:p w:rsidR="0028797A" w:rsidRPr="005D4EE2" w:rsidRDefault="0028797A" w:rsidP="00EE2CF8">
      <w:pPr>
        <w:autoSpaceDE w:val="0"/>
        <w:autoSpaceDN w:val="0"/>
        <w:adjustRightInd w:val="0"/>
        <w:spacing w:after="0" w:line="312" w:lineRule="auto"/>
        <w:jc w:val="both"/>
        <w:rPr>
          <w:rFonts w:cs="Calibri"/>
          <w:sz w:val="21"/>
          <w:szCs w:val="21"/>
        </w:rPr>
      </w:pPr>
    </w:p>
    <w:p w:rsidR="00D6040F" w:rsidRPr="005D4EE2" w:rsidRDefault="00D6040F" w:rsidP="00EE2CF8">
      <w:pPr>
        <w:autoSpaceDE w:val="0"/>
        <w:autoSpaceDN w:val="0"/>
        <w:adjustRightInd w:val="0"/>
        <w:spacing w:after="0" w:line="312" w:lineRule="auto"/>
        <w:jc w:val="both"/>
        <w:rPr>
          <w:rFonts w:cs="Calibri"/>
          <w:sz w:val="21"/>
          <w:szCs w:val="21"/>
        </w:rPr>
      </w:pPr>
      <w:r w:rsidRPr="005D4EE2">
        <w:rPr>
          <w:rFonts w:cs="Calibri"/>
          <w:sz w:val="21"/>
          <w:szCs w:val="21"/>
        </w:rPr>
        <w:t>Pozostałe warunki i wymagania określone w SWZ pozostają bez zmian.</w:t>
      </w:r>
    </w:p>
    <w:p w:rsidR="00D6040F" w:rsidRPr="005D4EE2" w:rsidRDefault="00D6040F" w:rsidP="00EE2CF8">
      <w:pPr>
        <w:autoSpaceDE w:val="0"/>
        <w:autoSpaceDN w:val="0"/>
        <w:adjustRightInd w:val="0"/>
        <w:spacing w:after="0" w:line="312" w:lineRule="auto"/>
        <w:jc w:val="both"/>
        <w:rPr>
          <w:rFonts w:cs="Calibri"/>
          <w:sz w:val="21"/>
          <w:szCs w:val="21"/>
        </w:rPr>
      </w:pPr>
      <w:r w:rsidRPr="005D4EE2">
        <w:rPr>
          <w:rFonts w:cs="Calibri"/>
          <w:sz w:val="21"/>
          <w:szCs w:val="21"/>
        </w:rPr>
        <w:t>Powyższe zmiany są wiążące dla wszystkich wykonawców i stanowią integralną część SWZ.</w:t>
      </w:r>
    </w:p>
    <w:p w:rsidR="00D6040F" w:rsidRPr="00BF0CE0" w:rsidRDefault="00D6040F" w:rsidP="00D6040F">
      <w:pPr>
        <w:spacing w:after="0"/>
        <w:ind w:left="4962"/>
        <w:contextualSpacing/>
        <w:rPr>
          <w:rFonts w:cs="Calibri"/>
          <w:sz w:val="21"/>
          <w:szCs w:val="21"/>
        </w:rPr>
      </w:pPr>
    </w:p>
    <w:p w:rsidR="00D6040F" w:rsidRPr="00BF0CE0" w:rsidRDefault="00D6040F" w:rsidP="00D6040F">
      <w:pPr>
        <w:spacing w:after="0"/>
        <w:ind w:left="4962"/>
        <w:contextualSpacing/>
        <w:rPr>
          <w:rFonts w:cs="Calibri"/>
          <w:sz w:val="21"/>
          <w:szCs w:val="21"/>
        </w:rPr>
      </w:pPr>
    </w:p>
    <w:p w:rsidR="00D6040F" w:rsidRPr="00BF0CE0" w:rsidRDefault="00D6040F" w:rsidP="00D6040F">
      <w:pPr>
        <w:spacing w:after="0"/>
        <w:ind w:left="4962"/>
        <w:contextualSpacing/>
        <w:rPr>
          <w:rFonts w:cs="Calibri"/>
          <w:sz w:val="21"/>
          <w:szCs w:val="21"/>
        </w:rPr>
      </w:pPr>
      <w:r w:rsidRPr="00BF0CE0">
        <w:rPr>
          <w:rFonts w:cs="Calibri"/>
          <w:sz w:val="21"/>
          <w:szCs w:val="21"/>
        </w:rPr>
        <w:t>____________________________________</w:t>
      </w:r>
    </w:p>
    <w:p w:rsidR="00D6040F" w:rsidRPr="00BF0CE0" w:rsidRDefault="00D6040F" w:rsidP="00D6040F">
      <w:pPr>
        <w:spacing w:after="0"/>
        <w:ind w:left="4962"/>
        <w:contextualSpacing/>
        <w:rPr>
          <w:rFonts w:cs="Calibri"/>
          <w:sz w:val="21"/>
          <w:szCs w:val="21"/>
        </w:rPr>
      </w:pPr>
      <w:r w:rsidRPr="00BF0CE0">
        <w:rPr>
          <w:rFonts w:cs="Calibri"/>
          <w:sz w:val="21"/>
          <w:szCs w:val="21"/>
        </w:rPr>
        <w:t>Kierownik Zamawiającego</w:t>
      </w:r>
    </w:p>
    <w:p w:rsidR="00D6040F" w:rsidRPr="00BF0CE0" w:rsidRDefault="00D6040F" w:rsidP="00D6040F">
      <w:pPr>
        <w:pStyle w:val="Tekstpodstawowy"/>
        <w:spacing w:after="0"/>
        <w:rPr>
          <w:rFonts w:ascii="Calibri" w:hAnsi="Calibri" w:cs="Calibri"/>
          <w:sz w:val="21"/>
          <w:szCs w:val="21"/>
        </w:rPr>
      </w:pPr>
    </w:p>
    <w:p w:rsidR="00D6040F" w:rsidRPr="00BF0CE0" w:rsidRDefault="00D6040F" w:rsidP="00D6040F">
      <w:pPr>
        <w:pStyle w:val="Tekstpodstawowy"/>
        <w:spacing w:after="0"/>
        <w:rPr>
          <w:rFonts w:ascii="Calibri" w:hAnsi="Calibri" w:cs="Calibri"/>
          <w:sz w:val="12"/>
          <w:szCs w:val="12"/>
        </w:rPr>
      </w:pPr>
    </w:p>
    <w:p w:rsidR="00B934E9" w:rsidRPr="00BF0CE0" w:rsidRDefault="00B934E9" w:rsidP="00D6040F">
      <w:pPr>
        <w:pStyle w:val="Tekstpodstawowy"/>
        <w:spacing w:after="0"/>
        <w:rPr>
          <w:rFonts w:ascii="Calibri" w:hAnsi="Calibri" w:cs="Calibri"/>
          <w:sz w:val="12"/>
          <w:szCs w:val="12"/>
        </w:rPr>
      </w:pPr>
    </w:p>
    <w:p w:rsidR="00D6040F" w:rsidRPr="00BF0CE0" w:rsidRDefault="00D6040F" w:rsidP="00D6040F">
      <w:pPr>
        <w:pStyle w:val="Tekstpodstawowy"/>
        <w:spacing w:after="0"/>
        <w:rPr>
          <w:sz w:val="12"/>
          <w:szCs w:val="12"/>
        </w:rPr>
      </w:pPr>
      <w:r w:rsidRPr="00BF0CE0">
        <w:rPr>
          <w:rFonts w:ascii="Calibri" w:hAnsi="Calibri" w:cs="Calibri"/>
          <w:sz w:val="12"/>
          <w:szCs w:val="12"/>
        </w:rPr>
        <w:t>Otrzymują:</w:t>
      </w:r>
      <w:r w:rsidRPr="00BF0CE0">
        <w:rPr>
          <w:rFonts w:ascii="Calibri" w:hAnsi="Calibri" w:cs="Calibri"/>
          <w:sz w:val="12"/>
          <w:szCs w:val="12"/>
        </w:rPr>
        <w:br/>
        <w:t>1. Adresat/strona internetowa Zamawiającego: https://platformazakupowa.pl/pn/wolow</w:t>
      </w:r>
    </w:p>
    <w:p w:rsidR="00D6040F" w:rsidRPr="00BF0CE0" w:rsidRDefault="00D6040F" w:rsidP="00D6040F">
      <w:pPr>
        <w:pStyle w:val="Tekstpodstawowy"/>
        <w:spacing w:after="0"/>
        <w:rPr>
          <w:rFonts w:ascii="Calibri" w:hAnsi="Calibri" w:cs="Calibri"/>
          <w:sz w:val="12"/>
          <w:szCs w:val="12"/>
        </w:rPr>
      </w:pPr>
      <w:r w:rsidRPr="00BF0CE0">
        <w:rPr>
          <w:rFonts w:ascii="Calibri" w:hAnsi="Calibri" w:cs="Calibri"/>
          <w:sz w:val="12"/>
          <w:szCs w:val="12"/>
        </w:rPr>
        <w:t>2. A/a</w:t>
      </w:r>
    </w:p>
    <w:p w:rsidR="00D6040F" w:rsidRPr="00BF0CE0" w:rsidRDefault="00D6040F" w:rsidP="00D6040F">
      <w:pPr>
        <w:pStyle w:val="Tekstpodstawowy"/>
        <w:spacing w:after="0"/>
        <w:rPr>
          <w:sz w:val="12"/>
          <w:szCs w:val="12"/>
        </w:rPr>
      </w:pPr>
      <w:r w:rsidRPr="00BF0CE0">
        <w:rPr>
          <w:rFonts w:ascii="Calibri" w:hAnsi="Calibri" w:cs="Calibri"/>
          <w:sz w:val="12"/>
          <w:szCs w:val="12"/>
        </w:rPr>
        <w:t>Sprawę prowadzi: Aleksander Korcz: tel. 71 319 13 34</w:t>
      </w:r>
    </w:p>
    <w:p w:rsidR="00D6040F" w:rsidRPr="00BF0CE0" w:rsidRDefault="00D6040F" w:rsidP="00D6040F">
      <w:pPr>
        <w:pStyle w:val="Indeks"/>
        <w:suppressLineNumbers w:val="0"/>
        <w:suppressAutoHyphens w:val="0"/>
        <w:rPr>
          <w:rFonts w:ascii="Calibri" w:eastAsia="Segoe Print" w:hAnsi="Calibri" w:cs="Calibri"/>
          <w:sz w:val="12"/>
          <w:szCs w:val="12"/>
          <w:shd w:val="clear" w:color="auto" w:fill="FFFFFF"/>
          <w:lang w:val="en-US" w:eastAsia="pl-PL"/>
        </w:rPr>
      </w:pPr>
      <w:proofErr w:type="spellStart"/>
      <w:r w:rsidRPr="00BF0CE0">
        <w:rPr>
          <w:rFonts w:ascii="Calibri" w:eastAsia="Segoe Print" w:hAnsi="Calibri" w:cs="Calibri"/>
          <w:sz w:val="12"/>
          <w:szCs w:val="12"/>
          <w:shd w:val="clear" w:color="auto" w:fill="FFFFFF"/>
          <w:lang w:val="en-US" w:eastAsia="pl-PL"/>
        </w:rPr>
        <w:t>Sporządził</w:t>
      </w:r>
      <w:proofErr w:type="spellEnd"/>
      <w:r w:rsidRPr="00BF0CE0">
        <w:rPr>
          <w:rFonts w:ascii="Calibri" w:eastAsia="Segoe Print" w:hAnsi="Calibri" w:cs="Calibri"/>
          <w:sz w:val="12"/>
          <w:szCs w:val="12"/>
          <w:shd w:val="clear" w:color="auto" w:fill="FFFFFF"/>
          <w:lang w:val="en-US" w:eastAsia="pl-PL"/>
        </w:rPr>
        <w:t xml:space="preserve">: Karolina </w:t>
      </w:r>
      <w:proofErr w:type="spellStart"/>
      <w:r w:rsidRPr="00BF0CE0">
        <w:rPr>
          <w:rFonts w:ascii="Calibri" w:eastAsia="Segoe Print" w:hAnsi="Calibri" w:cs="Calibri"/>
          <w:sz w:val="12"/>
          <w:szCs w:val="12"/>
          <w:shd w:val="clear" w:color="auto" w:fill="FFFFFF"/>
          <w:lang w:val="en-US" w:eastAsia="pl-PL"/>
        </w:rPr>
        <w:t>Pasek</w:t>
      </w:r>
      <w:proofErr w:type="spellEnd"/>
      <w:r w:rsidRPr="00BF0CE0">
        <w:rPr>
          <w:rFonts w:ascii="Calibri" w:eastAsia="Segoe Print" w:hAnsi="Calibri" w:cs="Calibri"/>
          <w:sz w:val="12"/>
          <w:szCs w:val="12"/>
          <w:shd w:val="clear" w:color="auto" w:fill="FFFFFF"/>
          <w:lang w:val="en-US" w:eastAsia="pl-PL"/>
        </w:rPr>
        <w:t>, tel. 71 319 13 39</w:t>
      </w:r>
    </w:p>
    <w:p w:rsidR="00D6040F" w:rsidRPr="00BF0CE0" w:rsidRDefault="00D6040F" w:rsidP="00D6040F"/>
    <w:sectPr w:rsidR="00D6040F" w:rsidRPr="00BF0CE0" w:rsidSect="00854F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Print">
    <w:panose1 w:val="02000600000000000000"/>
    <w:charset w:val="EE"/>
    <w:family w:val="auto"/>
    <w:pitch w:val="variable"/>
    <w:sig w:usb0="0000028F"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sz w:val="20"/>
      </w:rPr>
    </w:lvl>
    <w:lvl w:ilvl="1">
      <w:start w:val="1"/>
      <w:numFmt w:val="none"/>
      <w:suff w:val="nothing"/>
      <w:lvlText w:val=""/>
      <w:lvlJc w:val="left"/>
      <w:pPr>
        <w:tabs>
          <w:tab w:val="num" w:pos="0"/>
        </w:tabs>
        <w:ind w:left="576" w:hanging="576"/>
      </w:pPr>
      <w:rPr>
        <w:rFonts w:ascii="Courier New" w:hAnsi="Courier New" w:cs="Courier New"/>
        <w:sz w:val="20"/>
      </w:rPr>
    </w:lvl>
    <w:lvl w:ilvl="2">
      <w:start w:val="1"/>
      <w:numFmt w:val="none"/>
      <w:suff w:val="nothing"/>
      <w:lvlText w:val=""/>
      <w:lvlJc w:val="left"/>
      <w:pPr>
        <w:tabs>
          <w:tab w:val="num" w:pos="0"/>
        </w:tabs>
        <w:ind w:left="720" w:hanging="720"/>
      </w:pPr>
      <w:rPr>
        <w:rFonts w:ascii="Wingdings" w:hAnsi="Wingdings" w:cs="Wingdings"/>
        <w:sz w:val="20"/>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5BD2E1A"/>
    <w:multiLevelType w:val="hybridMultilevel"/>
    <w:tmpl w:val="D9460AB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useFELayout/>
  </w:compat>
  <w:rsids>
    <w:rsidRoot w:val="00E14E2B"/>
    <w:rsid w:val="0028797A"/>
    <w:rsid w:val="00391276"/>
    <w:rsid w:val="003B010B"/>
    <w:rsid w:val="005D4EE2"/>
    <w:rsid w:val="007D3A31"/>
    <w:rsid w:val="00854FC9"/>
    <w:rsid w:val="009F0C11"/>
    <w:rsid w:val="00AD5DC3"/>
    <w:rsid w:val="00B117A6"/>
    <w:rsid w:val="00B75561"/>
    <w:rsid w:val="00B934E9"/>
    <w:rsid w:val="00BF0CE0"/>
    <w:rsid w:val="00CB42ED"/>
    <w:rsid w:val="00D6040F"/>
    <w:rsid w:val="00E14E2B"/>
    <w:rsid w:val="00EE2C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4FC9"/>
  </w:style>
  <w:style w:type="paragraph" w:styleId="Nagwek1">
    <w:name w:val="heading 1"/>
    <w:basedOn w:val="Normalny"/>
    <w:next w:val="Normalny"/>
    <w:link w:val="Nagwek1Znak"/>
    <w:qFormat/>
    <w:rsid w:val="00E14E2B"/>
    <w:pPr>
      <w:keepNext/>
      <w:suppressAutoHyphens/>
      <w:spacing w:after="0" w:line="240" w:lineRule="auto"/>
      <w:ind w:left="720" w:hanging="360"/>
      <w:jc w:val="both"/>
      <w:outlineLvl w:val="0"/>
    </w:pPr>
    <w:rPr>
      <w:rFonts w:ascii="Times New Roman" w:eastAsia="Times New Roman" w:hAnsi="Times New Roman" w:cs="Times New Roman"/>
      <w:b/>
      <w:bCs/>
      <w:sz w:val="15"/>
      <w:szCs w:val="15"/>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4E2B"/>
    <w:pPr>
      <w:spacing w:after="160" w:line="256" w:lineRule="auto"/>
      <w:ind w:left="720"/>
      <w:contextualSpacing/>
    </w:pPr>
    <w:rPr>
      <w:rFonts w:eastAsiaTheme="minorHAnsi"/>
      <w:lang w:eastAsia="en-US"/>
    </w:rPr>
  </w:style>
  <w:style w:type="character" w:customStyle="1" w:styleId="Nagwek1Znak">
    <w:name w:val="Nagłówek 1 Znak"/>
    <w:basedOn w:val="Domylnaczcionkaakapitu"/>
    <w:link w:val="Nagwek1"/>
    <w:rsid w:val="00E14E2B"/>
    <w:rPr>
      <w:rFonts w:ascii="Times New Roman" w:eastAsia="Times New Roman" w:hAnsi="Times New Roman" w:cs="Times New Roman"/>
      <w:b/>
      <w:bCs/>
      <w:sz w:val="15"/>
      <w:szCs w:val="15"/>
      <w:lang w:eastAsia="ar-SA"/>
    </w:rPr>
  </w:style>
  <w:style w:type="paragraph" w:customStyle="1" w:styleId="Default">
    <w:name w:val="Default"/>
    <w:rsid w:val="00E14E2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Indeks">
    <w:name w:val="Indeks"/>
    <w:basedOn w:val="Normalny"/>
    <w:rsid w:val="00E14E2B"/>
    <w:pPr>
      <w:suppressLineNumbers/>
      <w:suppressAutoHyphens/>
      <w:spacing w:after="0" w:line="240" w:lineRule="auto"/>
    </w:pPr>
    <w:rPr>
      <w:rFonts w:ascii="Times New Roman" w:eastAsia="Times New Roman" w:hAnsi="Times New Roman" w:cs="Tahoma"/>
      <w:sz w:val="20"/>
      <w:szCs w:val="20"/>
      <w:lang w:eastAsia="ar-SA"/>
    </w:rPr>
  </w:style>
  <w:style w:type="character" w:styleId="Hipercze">
    <w:name w:val="Hyperlink"/>
    <w:basedOn w:val="Domylnaczcionkaakapitu"/>
    <w:rsid w:val="00E14E2B"/>
    <w:rPr>
      <w:color w:val="0000FF"/>
      <w:u w:val="single"/>
    </w:rPr>
  </w:style>
  <w:style w:type="paragraph" w:styleId="Tekstpodstawowy">
    <w:name w:val="Body Text"/>
    <w:basedOn w:val="Normalny"/>
    <w:link w:val="TekstpodstawowyZnak"/>
    <w:semiHidden/>
    <w:unhideWhenUsed/>
    <w:rsid w:val="00D6040F"/>
    <w:pPr>
      <w:widowControl w:val="0"/>
      <w:suppressAutoHyphens/>
      <w:spacing w:after="120" w:line="240" w:lineRule="auto"/>
    </w:pPr>
    <w:rPr>
      <w:rFonts w:ascii="Times New Roman" w:eastAsia="SimSun" w:hAnsi="Times New Roman" w:cs="Arial Unicode MS"/>
      <w:kern w:val="2"/>
      <w:sz w:val="24"/>
      <w:szCs w:val="24"/>
      <w:lang w:eastAsia="zh-CN" w:bidi="hi-IN"/>
    </w:rPr>
  </w:style>
  <w:style w:type="character" w:customStyle="1" w:styleId="TekstpodstawowyZnak">
    <w:name w:val="Tekst podstawowy Znak"/>
    <w:basedOn w:val="Domylnaczcionkaakapitu"/>
    <w:link w:val="Tekstpodstawowy"/>
    <w:semiHidden/>
    <w:rsid w:val="00D6040F"/>
    <w:rPr>
      <w:rFonts w:ascii="Times New Roman" w:eastAsia="SimSun" w:hAnsi="Times New Roman" w:cs="Arial Unicode MS"/>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7138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low.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564</Words>
  <Characters>3384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karolina.pasek</dc:creator>
  <cp:keywords/>
  <dc:description/>
  <cp:lastModifiedBy>karolina.pasek</cp:lastModifiedBy>
  <cp:revision>3</cp:revision>
  <dcterms:created xsi:type="dcterms:W3CDTF">2021-05-21T08:19:00Z</dcterms:created>
  <dcterms:modified xsi:type="dcterms:W3CDTF">2021-05-24T12:20:00Z</dcterms:modified>
</cp:coreProperties>
</file>