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944" w:rsidRPr="00CB5297" w:rsidRDefault="006E1944" w:rsidP="006E1944">
      <w:pPr>
        <w:pStyle w:val="Podtytu"/>
        <w:numPr>
          <w:ilvl w:val="1"/>
          <w:numId w:val="1"/>
        </w:numPr>
        <w:spacing w:before="0" w:after="0" w:line="240" w:lineRule="auto"/>
        <w:rPr>
          <w:rFonts w:ascii="Times New Roman" w:hAnsi="Times New Roman"/>
          <w:b/>
          <w:bCs/>
          <w:i w:val="0"/>
          <w:color w:val="auto"/>
        </w:rPr>
      </w:pPr>
      <w:r>
        <w:rPr>
          <w:rFonts w:ascii="Times New Roman" w:hAnsi="Times New Roman"/>
          <w:b/>
          <w:bCs/>
          <w:i w:val="0"/>
          <w:caps w:val="0"/>
          <w:color w:val="auto"/>
        </w:rPr>
        <w:t>SYNOPSIS</w:t>
      </w:r>
    </w:p>
    <w:p w:rsidR="00EF2004" w:rsidRDefault="006E1944"/>
    <w:tbl>
      <w:tblPr>
        <w:tblW w:w="94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9"/>
        <w:gridCol w:w="7895"/>
      </w:tblGrid>
      <w:tr w:rsidR="006E1944" w:rsidRPr="00340D99" w:rsidTr="004F7BC6">
        <w:tc>
          <w:tcPr>
            <w:tcW w:w="1509" w:type="dxa"/>
            <w:shd w:val="clear" w:color="auto" w:fill="auto"/>
            <w:tcMar>
              <w:left w:w="57" w:type="dxa"/>
              <w:right w:w="57" w:type="dxa"/>
            </w:tcMar>
          </w:tcPr>
          <w:p w:rsidR="006E1944" w:rsidRPr="00340D99" w:rsidRDefault="006E1944" w:rsidP="004F7BC6">
            <w:pPr>
              <w:tabs>
                <w:tab w:val="left" w:pos="0"/>
              </w:tabs>
              <w:spacing w:after="0" w:line="10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</w:rPr>
              <w:t>Tytuł</w:t>
            </w:r>
          </w:p>
        </w:tc>
        <w:tc>
          <w:tcPr>
            <w:tcW w:w="7895" w:type="dxa"/>
            <w:shd w:val="clear" w:color="auto" w:fill="auto"/>
            <w:tcMar>
              <w:left w:w="57" w:type="dxa"/>
              <w:right w:w="57" w:type="dxa"/>
            </w:tcMar>
          </w:tcPr>
          <w:p w:rsidR="006E1944" w:rsidRPr="00340D99" w:rsidRDefault="006E1944" w:rsidP="004F7BC6">
            <w:pPr>
              <w:pStyle w:val="Default"/>
              <w:spacing w:line="100" w:lineRule="atLeast"/>
              <w:jc w:val="both"/>
            </w:pPr>
            <w:r w:rsidRPr="00340D99">
              <w:rPr>
                <w:rFonts w:ascii="Times New Roman" w:eastAsia="Times New Roman" w:hAnsi="Times New Roman" w:cs="Times New Roman"/>
                <w:szCs w:val="22"/>
              </w:rPr>
              <w:t xml:space="preserve">Wpływ </w:t>
            </w:r>
            <w:proofErr w:type="spellStart"/>
            <w:r w:rsidRPr="00340D99">
              <w:rPr>
                <w:rFonts w:ascii="Times New Roman" w:eastAsia="Times New Roman" w:hAnsi="Times New Roman" w:cs="Times New Roman"/>
                <w:szCs w:val="22"/>
              </w:rPr>
              <w:t>sakubitrylu</w:t>
            </w:r>
            <w:proofErr w:type="spellEnd"/>
            <w:r w:rsidRPr="00340D99">
              <w:rPr>
                <w:rFonts w:ascii="Times New Roman" w:eastAsia="Times New Roman" w:hAnsi="Times New Roman" w:cs="Times New Roman"/>
                <w:szCs w:val="22"/>
              </w:rPr>
              <w:t>/</w:t>
            </w:r>
            <w:proofErr w:type="spellStart"/>
            <w:r w:rsidRPr="00340D99">
              <w:rPr>
                <w:rFonts w:ascii="Times New Roman" w:eastAsia="Times New Roman" w:hAnsi="Times New Roman" w:cs="Times New Roman"/>
                <w:szCs w:val="22"/>
              </w:rPr>
              <w:t>walsartanu</w:t>
            </w:r>
            <w:proofErr w:type="spellEnd"/>
            <w:r w:rsidRPr="00340D99">
              <w:rPr>
                <w:rFonts w:ascii="Times New Roman" w:eastAsia="Times New Roman" w:hAnsi="Times New Roman" w:cs="Times New Roman"/>
                <w:szCs w:val="22"/>
              </w:rPr>
              <w:t xml:space="preserve"> w porówn</w:t>
            </w:r>
            <w:r>
              <w:rPr>
                <w:rFonts w:ascii="Times New Roman" w:eastAsia="Times New Roman" w:hAnsi="Times New Roman" w:cs="Times New Roman"/>
                <w:szCs w:val="22"/>
              </w:rPr>
              <w:t xml:space="preserve">aniu z </w:t>
            </w:r>
            <w:proofErr w:type="spellStart"/>
            <w:r>
              <w:rPr>
                <w:rFonts w:ascii="Times New Roman" w:eastAsia="Times New Roman" w:hAnsi="Times New Roman" w:cs="Times New Roman"/>
                <w:szCs w:val="22"/>
              </w:rPr>
              <w:t>ramiprylem</w:t>
            </w:r>
            <w:proofErr w:type="spellEnd"/>
            <w:r>
              <w:rPr>
                <w:rFonts w:ascii="Times New Roman" w:eastAsia="Times New Roman" w:hAnsi="Times New Roman" w:cs="Times New Roman"/>
                <w:szCs w:val="22"/>
              </w:rPr>
              <w:t xml:space="preserve"> na przebudowę</w:t>
            </w:r>
            <w:r>
              <w:rPr>
                <w:rFonts w:ascii="Times New Roman" w:eastAsia="Times New Roman" w:hAnsi="Times New Roman" w:cs="Times New Roman"/>
                <w:szCs w:val="22"/>
              </w:rPr>
              <w:br/>
            </w:r>
            <w:r w:rsidRPr="00340D99">
              <w:rPr>
                <w:rFonts w:ascii="Times New Roman" w:eastAsia="Times New Roman" w:hAnsi="Times New Roman" w:cs="Times New Roman"/>
                <w:szCs w:val="22"/>
              </w:rPr>
              <w:t>i funkcję lewej komory u pacjentów z niewydolnością serca o etiologii niedokrwiennej i pośredniej frakcji wyrzutowej.</w:t>
            </w:r>
          </w:p>
        </w:tc>
      </w:tr>
      <w:tr w:rsidR="006E1944" w:rsidRPr="00340D99" w:rsidTr="004F7BC6">
        <w:tc>
          <w:tcPr>
            <w:tcW w:w="1509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E1944" w:rsidRPr="00DD2745" w:rsidRDefault="006E1944" w:rsidP="004F7BC6">
            <w:pPr>
              <w:tabs>
                <w:tab w:val="left" w:pos="0"/>
              </w:tabs>
              <w:spacing w:after="0" w:line="100" w:lineRule="atLeast"/>
              <w:rPr>
                <w:rFonts w:ascii="Times New Roman" w:eastAsia="Times New Roman" w:hAnsi="Times New Roman"/>
                <w:sz w:val="24"/>
              </w:rPr>
            </w:pPr>
            <w:r w:rsidRPr="00DD2745">
              <w:rPr>
                <w:rFonts w:ascii="Times New Roman" w:eastAsia="Times New Roman" w:hAnsi="Times New Roman"/>
                <w:b/>
                <w:bCs/>
                <w:sz w:val="24"/>
              </w:rPr>
              <w:t>Opis badania</w:t>
            </w:r>
          </w:p>
        </w:tc>
        <w:tc>
          <w:tcPr>
            <w:tcW w:w="7895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E1944" w:rsidRPr="00340D99" w:rsidRDefault="006E1944" w:rsidP="004F7BC6">
            <w:pPr>
              <w:tabs>
                <w:tab w:val="left" w:pos="0"/>
              </w:tabs>
              <w:spacing w:after="0" w:line="100" w:lineRule="atLeast"/>
              <w:jc w:val="both"/>
              <w:rPr>
                <w:sz w:val="24"/>
              </w:rPr>
            </w:pPr>
            <w:r w:rsidRPr="00340D99">
              <w:rPr>
                <w:rFonts w:ascii="Times New Roman" w:eastAsia="Times New Roman" w:hAnsi="Times New Roman"/>
                <w:sz w:val="24"/>
              </w:rPr>
              <w:t>Pacjenci z niewydolnością serca z pośrednią frakcją wyrzutową (</w:t>
            </w:r>
            <w:proofErr w:type="spellStart"/>
            <w:r w:rsidRPr="00340D99">
              <w:rPr>
                <w:rFonts w:ascii="Times New Roman" w:eastAsia="Times New Roman" w:hAnsi="Times New Roman"/>
                <w:sz w:val="24"/>
              </w:rPr>
              <w:t>HFmrEF</w:t>
            </w:r>
            <w:proofErr w:type="spellEnd"/>
            <w:r w:rsidRPr="00340D99">
              <w:rPr>
                <w:rFonts w:ascii="Times New Roman" w:eastAsia="Times New Roman" w:hAnsi="Times New Roman"/>
                <w:sz w:val="24"/>
              </w:rPr>
              <w:t xml:space="preserve">) spełniający kryteria włączenia i nie spełniający kryteriów wyłączenia będą leczeni w ramach tego prospektywnego, wieloośrodkowego, randomizowanego, podwójnie zaślepionego, kontrolowanego aktywnie badania. W pierwszym etapie pacjenci zostaną poddani fazie pojedynczej zaślepionej próby, w której zostanie dostosowana u nich docelowa dawka </w:t>
            </w:r>
            <w:proofErr w:type="spellStart"/>
            <w:r w:rsidRPr="00340D99">
              <w:rPr>
                <w:rFonts w:ascii="Times New Roman" w:eastAsia="Times New Roman" w:hAnsi="Times New Roman"/>
                <w:sz w:val="24"/>
              </w:rPr>
              <w:t>ramiprylu</w:t>
            </w:r>
            <w:proofErr w:type="spellEnd"/>
            <w:r w:rsidRPr="00340D99">
              <w:rPr>
                <w:rFonts w:ascii="Times New Roman" w:eastAsia="Times New Roman" w:hAnsi="Times New Roman"/>
                <w:sz w:val="24"/>
              </w:rPr>
              <w:t xml:space="preserve"> (5 mg dwa razy na dobę), a następnie zostaną poddani fazie pojedynczej zaślepionej próby, w której zostanie dostosowana u nich docelowa dawka </w:t>
            </w:r>
            <w:proofErr w:type="spellStart"/>
            <w:r w:rsidRPr="00340D99">
              <w:rPr>
                <w:rFonts w:ascii="Times New Roman" w:eastAsia="Times New Roman" w:hAnsi="Times New Roman"/>
                <w:sz w:val="24"/>
              </w:rPr>
              <w:t>sakubitrylu</w:t>
            </w:r>
            <w:proofErr w:type="spellEnd"/>
            <w:r w:rsidRPr="00340D99">
              <w:rPr>
                <w:rFonts w:ascii="Times New Roman" w:eastAsia="Times New Roman" w:hAnsi="Times New Roman"/>
                <w:sz w:val="24"/>
              </w:rPr>
              <w:t>/</w:t>
            </w:r>
            <w:proofErr w:type="spellStart"/>
            <w:r w:rsidRPr="00340D99">
              <w:rPr>
                <w:rFonts w:ascii="Times New Roman" w:eastAsia="Times New Roman" w:hAnsi="Times New Roman"/>
                <w:sz w:val="24"/>
              </w:rPr>
              <w:t>walsartanu</w:t>
            </w:r>
            <w:proofErr w:type="spellEnd"/>
            <w:r w:rsidRPr="00340D99">
              <w:rPr>
                <w:rFonts w:ascii="Times New Roman" w:eastAsia="Times New Roman" w:hAnsi="Times New Roman"/>
                <w:sz w:val="24"/>
              </w:rPr>
              <w:t xml:space="preserve"> (najpierw 100 mg a następnie 200 mg dwa razy na dobę). W efekcie, pacjenci tolerujący oba leki w docelowych dawkach zostaną przydzieleni losowo w stosunku 1:1 do grupy stosującej albo </w:t>
            </w:r>
            <w:proofErr w:type="spellStart"/>
            <w:r w:rsidRPr="00340D99">
              <w:rPr>
                <w:rFonts w:ascii="Times New Roman" w:eastAsia="Times New Roman" w:hAnsi="Times New Roman"/>
                <w:sz w:val="24"/>
              </w:rPr>
              <w:t>ramipryl</w:t>
            </w:r>
            <w:proofErr w:type="spellEnd"/>
            <w:r w:rsidRPr="00340D99">
              <w:rPr>
                <w:rFonts w:ascii="Times New Roman" w:eastAsia="Times New Roman" w:hAnsi="Times New Roman"/>
                <w:sz w:val="24"/>
              </w:rPr>
              <w:t xml:space="preserve"> w dawce 5 mg dwa razy na dobę albo </w:t>
            </w:r>
            <w:proofErr w:type="spellStart"/>
            <w:r w:rsidRPr="00340D99">
              <w:rPr>
                <w:rFonts w:ascii="Times New Roman" w:eastAsia="Times New Roman" w:hAnsi="Times New Roman"/>
                <w:sz w:val="24"/>
              </w:rPr>
              <w:t>sakubitryl</w:t>
            </w:r>
            <w:proofErr w:type="spellEnd"/>
            <w:r w:rsidRPr="00340D99">
              <w:rPr>
                <w:rFonts w:ascii="Times New Roman" w:eastAsia="Times New Roman" w:hAnsi="Times New Roman"/>
                <w:sz w:val="24"/>
              </w:rPr>
              <w:t>/</w:t>
            </w:r>
            <w:proofErr w:type="spellStart"/>
            <w:r w:rsidRPr="00340D99">
              <w:rPr>
                <w:rFonts w:ascii="Times New Roman" w:eastAsia="Times New Roman" w:hAnsi="Times New Roman"/>
                <w:sz w:val="24"/>
              </w:rPr>
              <w:t>walsartan</w:t>
            </w:r>
            <w:proofErr w:type="spellEnd"/>
            <w:r w:rsidRPr="00340D99">
              <w:rPr>
                <w:rFonts w:ascii="Times New Roman" w:eastAsia="Times New Roman" w:hAnsi="Times New Roman"/>
                <w:sz w:val="24"/>
              </w:rPr>
              <w:t xml:space="preserve"> w dawce 200 mg dwa razy na dobę. Leczenie b</w:t>
            </w:r>
            <w:r>
              <w:rPr>
                <w:rFonts w:ascii="Times New Roman" w:eastAsia="Times New Roman" w:hAnsi="Times New Roman"/>
                <w:sz w:val="24"/>
              </w:rPr>
              <w:t>ę</w:t>
            </w:r>
            <w:r w:rsidRPr="00340D99">
              <w:rPr>
                <w:rFonts w:ascii="Times New Roman" w:eastAsia="Times New Roman" w:hAnsi="Times New Roman"/>
                <w:sz w:val="24"/>
              </w:rPr>
              <w:t>dzie trwało 12 miesięcy.</w:t>
            </w:r>
          </w:p>
        </w:tc>
      </w:tr>
      <w:tr w:rsidR="006E1944" w:rsidRPr="00340D99" w:rsidTr="004F7BC6">
        <w:tc>
          <w:tcPr>
            <w:tcW w:w="1509" w:type="dxa"/>
            <w:tcBorders>
              <w:bottom w:val="dotted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E1944" w:rsidRPr="00340D99" w:rsidRDefault="006E1944" w:rsidP="004F7BC6">
            <w:pPr>
              <w:tabs>
                <w:tab w:val="left" w:pos="0"/>
              </w:tabs>
              <w:spacing w:after="0" w:line="100" w:lineRule="atLeast"/>
              <w:rPr>
                <w:rFonts w:ascii="Times New Roman" w:eastAsia="Times New Roman" w:hAnsi="Times New Roman"/>
                <w:b/>
                <w:bCs/>
                <w:iCs/>
                <w:color w:val="0070C0"/>
                <w:sz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</w:rPr>
              <w:t>Cele badania</w:t>
            </w:r>
          </w:p>
          <w:p w:rsidR="006E1944" w:rsidRPr="00340D99" w:rsidRDefault="006E1944" w:rsidP="004F7BC6">
            <w:pPr>
              <w:tabs>
                <w:tab w:val="left" w:pos="0"/>
              </w:tabs>
              <w:spacing w:after="0" w:line="100" w:lineRule="atLeast"/>
              <w:rPr>
                <w:rFonts w:ascii="Times New Roman" w:eastAsia="Times New Roman" w:hAnsi="Times New Roman"/>
                <w:b/>
                <w:bCs/>
                <w:iCs/>
                <w:color w:val="0070C0"/>
                <w:sz w:val="24"/>
              </w:rPr>
            </w:pPr>
          </w:p>
        </w:tc>
        <w:tc>
          <w:tcPr>
            <w:tcW w:w="7895" w:type="dxa"/>
            <w:tcBorders>
              <w:bottom w:val="dotted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E1944" w:rsidRPr="00340D99" w:rsidRDefault="006E1944" w:rsidP="004F7BC6">
            <w:pPr>
              <w:spacing w:after="0" w:line="100" w:lineRule="atLeast"/>
              <w:jc w:val="both"/>
              <w:rPr>
                <w:sz w:val="24"/>
              </w:rPr>
            </w:pPr>
            <w:r w:rsidRPr="00340D99">
              <w:rPr>
                <w:rFonts w:ascii="Times New Roman" w:eastAsia="Times New Roman" w:hAnsi="Times New Roman"/>
                <w:sz w:val="24"/>
              </w:rPr>
              <w:t xml:space="preserve">Celem badania jest ocena </w:t>
            </w:r>
            <w:r w:rsidRPr="00340D99">
              <w:rPr>
                <w:rFonts w:ascii="Times New Roman" w:hAnsi="Times New Roman"/>
                <w:sz w:val="24"/>
              </w:rPr>
              <w:t xml:space="preserve">wpływu </w:t>
            </w:r>
            <w:proofErr w:type="spellStart"/>
            <w:r w:rsidRPr="00340D99">
              <w:rPr>
                <w:rFonts w:ascii="Times New Roman" w:hAnsi="Times New Roman"/>
                <w:sz w:val="24"/>
              </w:rPr>
              <w:t>sakubitrylu</w:t>
            </w:r>
            <w:proofErr w:type="spellEnd"/>
            <w:r w:rsidRPr="00340D99">
              <w:rPr>
                <w:rFonts w:ascii="Times New Roman" w:hAnsi="Times New Roman"/>
                <w:sz w:val="24"/>
              </w:rPr>
              <w:t>/</w:t>
            </w:r>
            <w:proofErr w:type="spellStart"/>
            <w:r w:rsidRPr="00340D99">
              <w:rPr>
                <w:rFonts w:ascii="Times New Roman" w:hAnsi="Times New Roman"/>
                <w:sz w:val="24"/>
              </w:rPr>
              <w:t>walsartanu</w:t>
            </w:r>
            <w:proofErr w:type="spellEnd"/>
            <w:r w:rsidRPr="00340D99">
              <w:rPr>
                <w:rFonts w:ascii="Times New Roman" w:hAnsi="Times New Roman"/>
                <w:sz w:val="24"/>
              </w:rPr>
              <w:t xml:space="preserve"> w porównaniu z </w:t>
            </w:r>
            <w:proofErr w:type="spellStart"/>
            <w:r w:rsidRPr="00340D99">
              <w:rPr>
                <w:rFonts w:ascii="Times New Roman" w:hAnsi="Times New Roman"/>
                <w:sz w:val="24"/>
              </w:rPr>
              <w:t>ramiprylem</w:t>
            </w:r>
            <w:proofErr w:type="spellEnd"/>
            <w:r w:rsidRPr="00340D99">
              <w:rPr>
                <w:rFonts w:ascii="Times New Roman" w:hAnsi="Times New Roman"/>
                <w:sz w:val="24"/>
              </w:rPr>
              <w:t xml:space="preserve"> na przebudowę i funkcję le</w:t>
            </w:r>
            <w:r>
              <w:rPr>
                <w:rFonts w:ascii="Times New Roman" w:hAnsi="Times New Roman"/>
                <w:sz w:val="24"/>
              </w:rPr>
              <w:t xml:space="preserve">wej komory u pacjentów z </w:t>
            </w:r>
            <w:proofErr w:type="spellStart"/>
            <w:r>
              <w:rPr>
                <w:rFonts w:ascii="Times New Roman" w:hAnsi="Times New Roman"/>
                <w:sz w:val="24"/>
              </w:rPr>
              <w:t>HFmrEF</w:t>
            </w:r>
            <w:proofErr w:type="spellEnd"/>
            <w:r>
              <w:rPr>
                <w:rFonts w:ascii="Times New Roman" w:hAnsi="Times New Roman"/>
                <w:sz w:val="24"/>
              </w:rPr>
              <w:br/>
            </w:r>
            <w:r w:rsidRPr="00340D99">
              <w:rPr>
                <w:rFonts w:ascii="Times New Roman" w:hAnsi="Times New Roman"/>
                <w:sz w:val="24"/>
              </w:rPr>
              <w:t>o etiologii niedokrwiennej.</w:t>
            </w:r>
          </w:p>
        </w:tc>
      </w:tr>
      <w:tr w:rsidR="006E1944" w:rsidRPr="00340D99" w:rsidTr="004F7BC6">
        <w:tc>
          <w:tcPr>
            <w:tcW w:w="15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E1944" w:rsidRPr="00340D99" w:rsidRDefault="006E1944" w:rsidP="004F7BC6">
            <w:pPr>
              <w:tabs>
                <w:tab w:val="left" w:pos="0"/>
              </w:tabs>
              <w:snapToGrid w:val="0"/>
              <w:spacing w:after="0" w:line="100" w:lineRule="atLeast"/>
              <w:rPr>
                <w:rFonts w:ascii="Times New Roman" w:eastAsia="Times New Roman" w:hAnsi="Times New Roman"/>
                <w:b/>
                <w:bCs/>
                <w:sz w:val="24"/>
              </w:rPr>
            </w:pPr>
          </w:p>
        </w:tc>
        <w:tc>
          <w:tcPr>
            <w:tcW w:w="789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E1944" w:rsidRPr="00340D99" w:rsidRDefault="006E1944" w:rsidP="004F7BC6">
            <w:pPr>
              <w:spacing w:after="0" w:line="100" w:lineRule="atLeast"/>
              <w:rPr>
                <w:rFonts w:ascii="Times New Roman" w:eastAsia="Times New Roman" w:hAnsi="Times New Roman"/>
                <w:sz w:val="24"/>
              </w:rPr>
            </w:pPr>
            <w:r w:rsidRPr="00340D99">
              <w:rPr>
                <w:rFonts w:ascii="Times New Roman" w:eastAsia="Times New Roman" w:hAnsi="Times New Roman"/>
                <w:sz w:val="24"/>
              </w:rPr>
              <w:t>Pierwszorzędowy cel badania:</w:t>
            </w:r>
          </w:p>
          <w:p w:rsidR="006E1944" w:rsidRPr="00340D99" w:rsidRDefault="006E1944" w:rsidP="004F7BC6">
            <w:pPr>
              <w:tabs>
                <w:tab w:val="left" w:pos="0"/>
              </w:tabs>
              <w:spacing w:after="0" w:line="100" w:lineRule="atLeast"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Pr="00335A3E">
              <w:rPr>
                <w:rFonts w:ascii="Times New Roman" w:hAnsi="Times New Roman"/>
                <w:sz w:val="24"/>
                <w:szCs w:val="24"/>
              </w:rPr>
              <w:t xml:space="preserve">cena wpływu </w:t>
            </w:r>
            <w:proofErr w:type="spellStart"/>
            <w:r w:rsidRPr="00335A3E">
              <w:rPr>
                <w:rFonts w:ascii="Times New Roman" w:hAnsi="Times New Roman"/>
                <w:sz w:val="24"/>
                <w:szCs w:val="24"/>
              </w:rPr>
              <w:t>sakubitrylu</w:t>
            </w:r>
            <w:proofErr w:type="spellEnd"/>
            <w:r w:rsidRPr="00335A3E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335A3E">
              <w:rPr>
                <w:rFonts w:ascii="Times New Roman" w:hAnsi="Times New Roman"/>
                <w:sz w:val="24"/>
                <w:szCs w:val="24"/>
              </w:rPr>
              <w:t>walsartanu</w:t>
            </w:r>
            <w:proofErr w:type="spellEnd"/>
            <w:r w:rsidRPr="00335A3E">
              <w:rPr>
                <w:rFonts w:ascii="Times New Roman" w:hAnsi="Times New Roman"/>
                <w:sz w:val="24"/>
                <w:szCs w:val="24"/>
              </w:rPr>
              <w:t xml:space="preserve"> w porównaniu z </w:t>
            </w:r>
            <w:proofErr w:type="spellStart"/>
            <w:r w:rsidRPr="00335A3E">
              <w:rPr>
                <w:rFonts w:ascii="Times New Roman" w:hAnsi="Times New Roman"/>
                <w:sz w:val="24"/>
                <w:szCs w:val="24"/>
              </w:rPr>
              <w:t>ramiprylem</w:t>
            </w:r>
            <w:proofErr w:type="spellEnd"/>
            <w:r w:rsidRPr="00335A3E">
              <w:rPr>
                <w:rFonts w:ascii="Times New Roman" w:hAnsi="Times New Roman"/>
                <w:sz w:val="24"/>
                <w:szCs w:val="24"/>
              </w:rPr>
              <w:t xml:space="preserve"> na zmianę objętości </w:t>
            </w:r>
            <w:r>
              <w:rPr>
                <w:rFonts w:ascii="Times New Roman" w:hAnsi="Times New Roman"/>
                <w:sz w:val="24"/>
                <w:szCs w:val="24"/>
              </w:rPr>
              <w:t>końcowo</w:t>
            </w:r>
            <w:r w:rsidRPr="00335A3E">
              <w:rPr>
                <w:rFonts w:ascii="Times New Roman" w:hAnsi="Times New Roman"/>
                <w:sz w:val="24"/>
                <w:szCs w:val="24"/>
              </w:rPr>
              <w:t xml:space="preserve">-skurczowej lewej komory zmierzonej metodą rezonansu magnetycznego (MRI) u pacjentów z </w:t>
            </w:r>
            <w:proofErr w:type="spellStart"/>
            <w:r w:rsidRPr="00335A3E">
              <w:rPr>
                <w:rFonts w:ascii="Times New Roman" w:hAnsi="Times New Roman"/>
                <w:sz w:val="24"/>
                <w:szCs w:val="24"/>
              </w:rPr>
              <w:t>HFmrEF</w:t>
            </w:r>
            <w:proofErr w:type="spellEnd"/>
            <w:r w:rsidRPr="00335A3E">
              <w:rPr>
                <w:rFonts w:ascii="Times New Roman" w:hAnsi="Times New Roman"/>
                <w:sz w:val="24"/>
                <w:szCs w:val="24"/>
              </w:rPr>
              <w:t xml:space="preserve"> o etiologii niedokrwiennej w okresie 12 miesięcznej terapii.</w:t>
            </w:r>
          </w:p>
        </w:tc>
      </w:tr>
      <w:tr w:rsidR="006E1944" w:rsidRPr="00340D99" w:rsidTr="004F7BC6">
        <w:tc>
          <w:tcPr>
            <w:tcW w:w="150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E1944" w:rsidRPr="00340D99" w:rsidRDefault="006E1944" w:rsidP="004F7BC6">
            <w:pPr>
              <w:tabs>
                <w:tab w:val="left" w:pos="0"/>
              </w:tabs>
              <w:snapToGrid w:val="0"/>
              <w:spacing w:after="0" w:line="100" w:lineRule="atLeast"/>
              <w:rPr>
                <w:rFonts w:ascii="Times New Roman" w:eastAsia="Times New Roman" w:hAnsi="Times New Roman"/>
                <w:b/>
                <w:bCs/>
                <w:sz w:val="24"/>
              </w:rPr>
            </w:pPr>
          </w:p>
        </w:tc>
        <w:tc>
          <w:tcPr>
            <w:tcW w:w="789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E1944" w:rsidRPr="00340D99" w:rsidRDefault="006E1944" w:rsidP="004F7BC6">
            <w:pPr>
              <w:spacing w:after="0" w:line="100" w:lineRule="atLeast"/>
              <w:jc w:val="both"/>
              <w:rPr>
                <w:rFonts w:ascii="Times New Roman" w:hAnsi="Times New Roman"/>
                <w:sz w:val="24"/>
              </w:rPr>
            </w:pPr>
            <w:r w:rsidRPr="00340D99">
              <w:rPr>
                <w:rFonts w:ascii="Times New Roman" w:eastAsia="Times New Roman" w:hAnsi="Times New Roman"/>
                <w:sz w:val="24"/>
              </w:rPr>
              <w:t>Drugorzędowe cele badania:</w:t>
            </w:r>
          </w:p>
          <w:p w:rsidR="006E1944" w:rsidRDefault="006E1944" w:rsidP="004F7BC6">
            <w:pPr>
              <w:pStyle w:val="ListParagraph"/>
              <w:spacing w:after="0" w:line="240" w:lineRule="auto"/>
              <w:ind w:left="1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1. O</w:t>
            </w:r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cena wpływu </w:t>
            </w:r>
            <w:proofErr w:type="spellStart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sakubitrylu</w:t>
            </w:r>
            <w:proofErr w:type="spellEnd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/</w:t>
            </w:r>
            <w:proofErr w:type="spellStart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walsartanu</w:t>
            </w:r>
            <w:proofErr w:type="spellEnd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w porównaniu z </w:t>
            </w:r>
            <w:proofErr w:type="spellStart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ramiprylem</w:t>
            </w:r>
            <w:proofErr w:type="spellEnd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na zmianę objętości 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końcowo</w:t>
            </w:r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-rozkurczowej lew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ej komory zmierzonej metodą MRI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br/>
            </w:r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u pacjentów z </w:t>
            </w:r>
            <w:proofErr w:type="spellStart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HFmrEF</w:t>
            </w:r>
            <w:proofErr w:type="spellEnd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o etiologii niedokrwiennej w okresie 12 miesięcznej terapii.</w:t>
            </w:r>
          </w:p>
          <w:p w:rsidR="006E1944" w:rsidRPr="00335A3E" w:rsidRDefault="006E1944" w:rsidP="004F7BC6">
            <w:pPr>
              <w:pStyle w:val="ListParagraph"/>
              <w:spacing w:after="0" w:line="240" w:lineRule="auto"/>
              <w:ind w:left="1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2. O</w:t>
            </w:r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cena wpływu </w:t>
            </w:r>
            <w:proofErr w:type="spellStart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sakubitrylu</w:t>
            </w:r>
            <w:proofErr w:type="spellEnd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/</w:t>
            </w:r>
            <w:proofErr w:type="spellStart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walsartanu</w:t>
            </w:r>
            <w:proofErr w:type="spellEnd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w porównaniu z </w:t>
            </w:r>
            <w:proofErr w:type="spellStart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ramiprylem</w:t>
            </w:r>
            <w:proofErr w:type="spellEnd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na zmianę 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 xml:space="preserve">zindeksowanych wartości </w:t>
            </w:r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objętości 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końcowo-skurczowej i końcowo</w:t>
            </w:r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-rozkurczowej lewej komory zmierzon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ych</w:t>
            </w:r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 xml:space="preserve">metodą MRI u pacjentów z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pl-PL"/>
              </w:rPr>
              <w:t>HFmrEF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pl-PL"/>
              </w:rPr>
              <w:br/>
            </w:r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o etiologii niedokrwiennej w okresie 12 miesięcznej terapii.</w:t>
            </w:r>
          </w:p>
          <w:p w:rsidR="006E1944" w:rsidRPr="00335A3E" w:rsidRDefault="006E1944" w:rsidP="004F7BC6">
            <w:pPr>
              <w:pStyle w:val="ListParagraph"/>
              <w:spacing w:after="0" w:line="240" w:lineRule="auto"/>
              <w:ind w:left="1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3. O</w:t>
            </w:r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cena wpływu </w:t>
            </w:r>
            <w:proofErr w:type="spellStart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sakubitrylu</w:t>
            </w:r>
            <w:proofErr w:type="spellEnd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/</w:t>
            </w:r>
            <w:proofErr w:type="spellStart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walsartanu</w:t>
            </w:r>
            <w:proofErr w:type="spellEnd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w porównaniu z </w:t>
            </w:r>
            <w:proofErr w:type="spellStart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ramiprylem</w:t>
            </w:r>
            <w:proofErr w:type="spellEnd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na zmianę frakcji wyrzutowej lewej komory zm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ierzonej metodą MRI u pacjentów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br/>
            </w:r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z </w:t>
            </w:r>
            <w:proofErr w:type="spellStart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HFmrEF</w:t>
            </w:r>
            <w:proofErr w:type="spellEnd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o etiologii niedokrwiennej w okresie 12 miesięcznej terapii.</w:t>
            </w:r>
          </w:p>
          <w:p w:rsidR="006E1944" w:rsidRDefault="006E1944" w:rsidP="004F7BC6">
            <w:pPr>
              <w:pStyle w:val="ListParagraph"/>
              <w:spacing w:after="0" w:line="240" w:lineRule="auto"/>
              <w:ind w:left="1"/>
              <w:jc w:val="both"/>
              <w:rPr>
                <w:rFonts w:ascii="Times New Roman" w:eastAsia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4. O</w:t>
            </w:r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cena wpływu </w:t>
            </w:r>
            <w:proofErr w:type="spellStart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sakubitrylu</w:t>
            </w:r>
            <w:proofErr w:type="spellEnd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/</w:t>
            </w:r>
            <w:proofErr w:type="spellStart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walsartanu</w:t>
            </w:r>
            <w:proofErr w:type="spellEnd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w porównaniu z </w:t>
            </w:r>
            <w:proofErr w:type="spellStart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ramiprylem</w:t>
            </w:r>
            <w:proofErr w:type="spellEnd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na wystąpienie </w:t>
            </w:r>
            <w:r w:rsidRPr="00335A3E">
              <w:rPr>
                <w:rFonts w:ascii="Times New Roman" w:eastAsia="Times New Roman" w:hAnsi="Times New Roman"/>
                <w:sz w:val="24"/>
                <w:szCs w:val="24"/>
                <w:lang w:val="pl-PL"/>
              </w:rPr>
              <w:t xml:space="preserve">punktu końcowego złożonego ze </w:t>
            </w:r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zgonu z przyczyn sercowo-naczyniowych lub </w:t>
            </w:r>
            <w:r w:rsidRPr="00335A3E">
              <w:rPr>
                <w:rFonts w:ascii="Times New Roman" w:eastAsia="Times New Roman" w:hAnsi="Times New Roman"/>
                <w:sz w:val="24"/>
                <w:szCs w:val="24"/>
                <w:lang w:val="pl-PL"/>
              </w:rPr>
              <w:t xml:space="preserve">pierwszej hospitalizacji z powodu HF </w:t>
            </w:r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u pacjentów z </w:t>
            </w:r>
            <w:proofErr w:type="spellStart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HFmrEF</w:t>
            </w:r>
            <w:proofErr w:type="spellEnd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o etiologii niedokrwiennej w okresie 12 miesięcznej terapii</w:t>
            </w:r>
            <w:r w:rsidRPr="00335A3E">
              <w:rPr>
                <w:rFonts w:ascii="Times New Roman" w:eastAsia="Times New Roman" w:hAnsi="Times New Roman"/>
                <w:sz w:val="24"/>
                <w:szCs w:val="24"/>
                <w:lang w:val="pl-PL"/>
              </w:rPr>
              <w:t>.</w:t>
            </w:r>
          </w:p>
          <w:p w:rsidR="006E1944" w:rsidRDefault="006E1944" w:rsidP="004F7BC6">
            <w:pPr>
              <w:pStyle w:val="ListParagraph"/>
              <w:spacing w:after="0" w:line="240" w:lineRule="auto"/>
              <w:ind w:left="1"/>
              <w:jc w:val="both"/>
              <w:rPr>
                <w:rFonts w:ascii="Times New Roman" w:eastAsia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5. O</w:t>
            </w:r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cena wpływu </w:t>
            </w:r>
            <w:proofErr w:type="spellStart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sakubitrylu</w:t>
            </w:r>
            <w:proofErr w:type="spellEnd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/</w:t>
            </w:r>
            <w:proofErr w:type="spellStart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walsartanu</w:t>
            </w:r>
            <w:proofErr w:type="spellEnd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w porównaniu z </w:t>
            </w:r>
            <w:proofErr w:type="spellStart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ramiprylem</w:t>
            </w:r>
            <w:proofErr w:type="spellEnd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na wystąpienie </w:t>
            </w:r>
            <w:r w:rsidRPr="00335A3E">
              <w:rPr>
                <w:rFonts w:ascii="Times New Roman" w:eastAsia="Times New Roman" w:hAnsi="Times New Roman"/>
                <w:sz w:val="24"/>
                <w:szCs w:val="24"/>
                <w:lang w:val="pl-PL"/>
              </w:rPr>
              <w:t xml:space="preserve">punktu końcowego złożonego ze </w:t>
            </w:r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zgonu z przyczyn sercowo-naczyniowych lub </w:t>
            </w:r>
            <w:r w:rsidRPr="00335A3E">
              <w:rPr>
                <w:rFonts w:ascii="Times New Roman" w:eastAsia="Times New Roman" w:hAnsi="Times New Roman"/>
                <w:sz w:val="24"/>
                <w:szCs w:val="24"/>
                <w:lang w:val="pl-PL"/>
              </w:rPr>
              <w:t xml:space="preserve">pierwszej </w:t>
            </w:r>
            <w:r>
              <w:rPr>
                <w:rFonts w:ascii="Times New Roman" w:eastAsia="Times New Roman" w:hAnsi="Times New Roman"/>
                <w:sz w:val="24"/>
                <w:szCs w:val="24"/>
                <w:lang w:val="pl-PL"/>
              </w:rPr>
              <w:t>lub kolejnej hospitalizacji z powodu HF</w:t>
            </w:r>
            <w:r>
              <w:rPr>
                <w:rFonts w:ascii="Times New Roman" w:eastAsia="Times New Roman" w:hAnsi="Times New Roman"/>
                <w:sz w:val="24"/>
                <w:szCs w:val="24"/>
                <w:lang w:val="pl-PL"/>
              </w:rPr>
              <w:br/>
            </w:r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u pacjentów z </w:t>
            </w:r>
            <w:proofErr w:type="spellStart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HFmrEF</w:t>
            </w:r>
            <w:proofErr w:type="spellEnd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o etiologii niedokrwiennej w okresie 12 miesięcznej terapii</w:t>
            </w:r>
            <w:r w:rsidRPr="00335A3E">
              <w:rPr>
                <w:rFonts w:ascii="Times New Roman" w:eastAsia="Times New Roman" w:hAnsi="Times New Roman"/>
                <w:sz w:val="24"/>
                <w:szCs w:val="24"/>
                <w:lang w:val="pl-PL"/>
              </w:rPr>
              <w:t>.</w:t>
            </w:r>
          </w:p>
          <w:p w:rsidR="006E1944" w:rsidRDefault="006E1944" w:rsidP="004F7BC6">
            <w:pPr>
              <w:pStyle w:val="ListParagraph"/>
              <w:spacing w:after="0" w:line="240" w:lineRule="auto"/>
              <w:ind w:left="1"/>
              <w:jc w:val="both"/>
              <w:rPr>
                <w:rFonts w:ascii="Times New Roman" w:eastAsia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lastRenderedPageBreak/>
              <w:t>6. O</w:t>
            </w:r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cena wpływu </w:t>
            </w:r>
            <w:proofErr w:type="spellStart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sakubitrylu</w:t>
            </w:r>
            <w:proofErr w:type="spellEnd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/</w:t>
            </w:r>
            <w:proofErr w:type="spellStart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walsartanu</w:t>
            </w:r>
            <w:proofErr w:type="spellEnd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w porównaniu z </w:t>
            </w:r>
            <w:proofErr w:type="spellStart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ramiprylem</w:t>
            </w:r>
            <w:proofErr w:type="spellEnd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na wystąpienie zgonu z przyczyn sercowo-naczyniowych</w:t>
            </w:r>
            <w:r w:rsidRPr="00335A3E">
              <w:rPr>
                <w:rFonts w:ascii="Times New Roman" w:eastAsia="Times New Roman" w:hAnsi="Times New Roman"/>
                <w:sz w:val="24"/>
                <w:szCs w:val="24"/>
                <w:lang w:val="pl-PL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 xml:space="preserve">u pacjentów z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pl-PL"/>
              </w:rPr>
              <w:t>HFmrEF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pl-PL"/>
              </w:rPr>
              <w:br/>
            </w:r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o etiologii niedokrwiennej w okresie 12 miesięcznej terapii.</w:t>
            </w:r>
          </w:p>
          <w:p w:rsidR="006E1944" w:rsidRDefault="006E1944" w:rsidP="004F7BC6">
            <w:pPr>
              <w:pStyle w:val="ListParagraph"/>
              <w:spacing w:after="0" w:line="240" w:lineRule="auto"/>
              <w:ind w:left="1"/>
              <w:jc w:val="both"/>
              <w:rPr>
                <w:rFonts w:ascii="Times New Roman" w:eastAsia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7. O</w:t>
            </w:r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cena wpływu </w:t>
            </w:r>
            <w:proofErr w:type="spellStart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sakubitrylu</w:t>
            </w:r>
            <w:proofErr w:type="spellEnd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/</w:t>
            </w:r>
            <w:proofErr w:type="spellStart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walsartanu</w:t>
            </w:r>
            <w:proofErr w:type="spellEnd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w porównaniu z </w:t>
            </w:r>
            <w:proofErr w:type="spellStart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ramiprylem</w:t>
            </w:r>
            <w:proofErr w:type="spellEnd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na wystąpienie </w:t>
            </w:r>
            <w:r w:rsidRPr="00335A3E">
              <w:rPr>
                <w:rFonts w:ascii="Times New Roman" w:eastAsia="Times New Roman" w:hAnsi="Times New Roman"/>
                <w:sz w:val="24"/>
                <w:szCs w:val="24"/>
                <w:lang w:val="pl-PL"/>
              </w:rPr>
              <w:t xml:space="preserve">pierwszej hospitalizacji z powodu HF 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 xml:space="preserve">u pacjentów z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pl-PL"/>
              </w:rPr>
              <w:t>HFmrEF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pl-PL"/>
              </w:rPr>
              <w:br/>
            </w:r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o etiologii niedokrwiennej w okresie 12 miesięcznej terapii</w:t>
            </w:r>
            <w:r w:rsidRPr="00335A3E">
              <w:rPr>
                <w:rFonts w:ascii="Times New Roman" w:eastAsia="Times New Roman" w:hAnsi="Times New Roman"/>
                <w:sz w:val="24"/>
                <w:szCs w:val="24"/>
                <w:lang w:val="pl-PL"/>
              </w:rPr>
              <w:t>.</w:t>
            </w:r>
          </w:p>
          <w:p w:rsidR="006E1944" w:rsidRPr="00335A3E" w:rsidRDefault="006E1944" w:rsidP="004F7BC6">
            <w:pPr>
              <w:pStyle w:val="ListParagraph"/>
              <w:spacing w:after="0" w:line="240" w:lineRule="auto"/>
              <w:ind w:left="1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8. O</w:t>
            </w:r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cena wpływu </w:t>
            </w:r>
            <w:proofErr w:type="spellStart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sakubitrylu</w:t>
            </w:r>
            <w:proofErr w:type="spellEnd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/</w:t>
            </w:r>
            <w:proofErr w:type="spellStart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walsartanu</w:t>
            </w:r>
            <w:proofErr w:type="spellEnd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w porównaniu z </w:t>
            </w:r>
            <w:proofErr w:type="spellStart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ramiprylem</w:t>
            </w:r>
            <w:proofErr w:type="spellEnd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na wystąpienie </w:t>
            </w:r>
            <w:r w:rsidRPr="00335A3E">
              <w:rPr>
                <w:rFonts w:ascii="Times New Roman" w:eastAsia="Times New Roman" w:hAnsi="Times New Roman"/>
                <w:sz w:val="24"/>
                <w:szCs w:val="24"/>
                <w:lang w:val="pl-PL"/>
              </w:rPr>
              <w:t xml:space="preserve">pierwszej </w:t>
            </w:r>
            <w:r>
              <w:rPr>
                <w:rFonts w:ascii="Times New Roman" w:eastAsia="Times New Roman" w:hAnsi="Times New Roman"/>
                <w:sz w:val="24"/>
                <w:szCs w:val="24"/>
                <w:lang w:val="pl-PL"/>
              </w:rPr>
              <w:t xml:space="preserve">lub kolejnej </w:t>
            </w:r>
            <w:r w:rsidRPr="00335A3E">
              <w:rPr>
                <w:rFonts w:ascii="Times New Roman" w:eastAsia="Times New Roman" w:hAnsi="Times New Roman"/>
                <w:sz w:val="24"/>
                <w:szCs w:val="24"/>
                <w:lang w:val="pl-PL"/>
              </w:rPr>
              <w:t xml:space="preserve">hospitalizacji z powodu HF 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u pacjentów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br/>
            </w:r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z </w:t>
            </w:r>
            <w:proofErr w:type="spellStart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HFmrEF</w:t>
            </w:r>
            <w:proofErr w:type="spellEnd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o etiologii niedokrwiennej w okresie 12 miesięcznej terapii</w:t>
            </w:r>
            <w:r w:rsidRPr="00335A3E">
              <w:rPr>
                <w:rFonts w:ascii="Times New Roman" w:eastAsia="Times New Roman" w:hAnsi="Times New Roman"/>
                <w:sz w:val="24"/>
                <w:szCs w:val="24"/>
                <w:lang w:val="pl-PL"/>
              </w:rPr>
              <w:t>.</w:t>
            </w:r>
          </w:p>
          <w:p w:rsidR="006E1944" w:rsidRPr="00340D99" w:rsidRDefault="006E1944" w:rsidP="004F7BC6">
            <w:pPr>
              <w:pStyle w:val="ListParagraph"/>
              <w:spacing w:after="0" w:line="240" w:lineRule="auto"/>
              <w:ind w:left="1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9. O</w:t>
            </w:r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cena wpływu </w:t>
            </w:r>
            <w:proofErr w:type="spellStart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sakubitrylu</w:t>
            </w:r>
            <w:proofErr w:type="spellEnd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/</w:t>
            </w:r>
            <w:proofErr w:type="spellStart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walsartanu</w:t>
            </w:r>
            <w:proofErr w:type="spellEnd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w porównaniu z </w:t>
            </w:r>
            <w:proofErr w:type="spellStart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ramiprylem</w:t>
            </w:r>
            <w:proofErr w:type="spellEnd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na czas do wystąpienia </w:t>
            </w:r>
            <w:r w:rsidRPr="00340D99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zgonu z przyczyn sercowo-naczyniowych lub </w:t>
            </w:r>
            <w:r w:rsidRPr="00340D99">
              <w:rPr>
                <w:rFonts w:ascii="Times New Roman" w:eastAsia="Times New Roman" w:hAnsi="Times New Roman"/>
                <w:sz w:val="24"/>
                <w:szCs w:val="24"/>
                <w:lang w:val="pl-PL"/>
              </w:rPr>
              <w:t xml:space="preserve">pierwszej hospitalizacji z powodu HF </w:t>
            </w:r>
            <w:r w:rsidRPr="00340D99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u pacjentów z </w:t>
            </w:r>
            <w:proofErr w:type="spellStart"/>
            <w:r w:rsidRPr="00340D99">
              <w:rPr>
                <w:rFonts w:ascii="Times New Roman" w:hAnsi="Times New Roman"/>
                <w:sz w:val="24"/>
                <w:szCs w:val="24"/>
                <w:lang w:val="pl-PL"/>
              </w:rPr>
              <w:t>HFmrEF</w:t>
            </w:r>
            <w:proofErr w:type="spellEnd"/>
            <w:r w:rsidRPr="00340D99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o etiologii niedokrwiennej w okresie 12 miesięcznej terapii</w:t>
            </w:r>
            <w:r w:rsidRPr="00340D99">
              <w:rPr>
                <w:rFonts w:ascii="Times New Roman" w:eastAsia="Times New Roman" w:hAnsi="Times New Roman"/>
                <w:sz w:val="24"/>
                <w:szCs w:val="24"/>
                <w:lang w:val="pl-PL"/>
              </w:rPr>
              <w:t xml:space="preserve">. </w:t>
            </w:r>
          </w:p>
          <w:p w:rsidR="006E1944" w:rsidRPr="00F3691F" w:rsidRDefault="006E1944" w:rsidP="004F7BC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10. O</w:t>
            </w:r>
            <w:r w:rsidRPr="00340D99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cena wpływu </w:t>
            </w:r>
            <w:proofErr w:type="spellStart"/>
            <w:r w:rsidRPr="00340D99">
              <w:rPr>
                <w:rFonts w:ascii="Times New Roman" w:hAnsi="Times New Roman"/>
                <w:sz w:val="24"/>
                <w:szCs w:val="24"/>
                <w:lang w:val="pl-PL"/>
              </w:rPr>
              <w:t>sakubitrylu</w:t>
            </w:r>
            <w:proofErr w:type="spellEnd"/>
            <w:r w:rsidRPr="00340D99">
              <w:rPr>
                <w:rFonts w:ascii="Times New Roman" w:hAnsi="Times New Roman"/>
                <w:sz w:val="24"/>
                <w:szCs w:val="24"/>
                <w:lang w:val="pl-PL"/>
              </w:rPr>
              <w:t>/</w:t>
            </w:r>
            <w:proofErr w:type="spellStart"/>
            <w:r w:rsidRPr="00340D99">
              <w:rPr>
                <w:rFonts w:ascii="Times New Roman" w:hAnsi="Times New Roman"/>
                <w:sz w:val="24"/>
                <w:szCs w:val="24"/>
                <w:lang w:val="pl-PL"/>
              </w:rPr>
              <w:t>walsartanu</w:t>
            </w:r>
            <w:proofErr w:type="spellEnd"/>
            <w:r w:rsidRPr="00340D99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w porównaniu z </w:t>
            </w:r>
            <w:proofErr w:type="spellStart"/>
            <w:r w:rsidRPr="00340D99">
              <w:rPr>
                <w:rFonts w:ascii="Times New Roman" w:hAnsi="Times New Roman"/>
                <w:sz w:val="24"/>
                <w:szCs w:val="24"/>
                <w:lang w:val="pl-PL"/>
              </w:rPr>
              <w:t>ramiprylem</w:t>
            </w:r>
            <w:proofErr w:type="spellEnd"/>
            <w:r w:rsidRPr="00340D99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na wystąpienie zgonu z jakiejkolwiek przyczyny</w:t>
            </w:r>
            <w:r w:rsidRPr="00340D99">
              <w:rPr>
                <w:rFonts w:ascii="Times New Roman" w:eastAsia="Times New Roman" w:hAnsi="Times New Roman"/>
                <w:sz w:val="24"/>
                <w:szCs w:val="24"/>
                <w:lang w:val="pl-PL"/>
              </w:rPr>
              <w:t xml:space="preserve"> </w:t>
            </w:r>
            <w:r w:rsidRPr="00340D99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u pacjentów z </w:t>
            </w:r>
            <w:proofErr w:type="spellStart"/>
            <w:r w:rsidRPr="00340D99">
              <w:rPr>
                <w:rFonts w:ascii="Times New Roman" w:hAnsi="Times New Roman"/>
                <w:sz w:val="24"/>
                <w:szCs w:val="24"/>
                <w:lang w:val="pl-PL"/>
              </w:rPr>
              <w:t>HFmrEF</w:t>
            </w:r>
            <w:proofErr w:type="spellEnd"/>
            <w:r w:rsidRPr="00340D99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o etiologii niedokrwiennej w okresie 12 miesięcznej terapii.</w:t>
            </w:r>
          </w:p>
        </w:tc>
      </w:tr>
      <w:tr w:rsidR="006E1944" w:rsidRPr="00340D99" w:rsidTr="004F7BC6">
        <w:tc>
          <w:tcPr>
            <w:tcW w:w="150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E1944" w:rsidRPr="00340D99" w:rsidRDefault="006E1944" w:rsidP="004F7BC6">
            <w:pPr>
              <w:tabs>
                <w:tab w:val="left" w:pos="0"/>
              </w:tabs>
              <w:snapToGrid w:val="0"/>
              <w:spacing w:after="0" w:line="100" w:lineRule="atLeast"/>
              <w:rPr>
                <w:rFonts w:ascii="Times New Roman" w:eastAsia="Times New Roman" w:hAnsi="Times New Roman"/>
                <w:b/>
                <w:bCs/>
                <w:sz w:val="24"/>
              </w:rPr>
            </w:pPr>
          </w:p>
        </w:tc>
        <w:tc>
          <w:tcPr>
            <w:tcW w:w="7895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E1944" w:rsidRPr="001C6BD7" w:rsidRDefault="006E1944" w:rsidP="004F7BC6">
            <w:pPr>
              <w:pStyle w:val="Synopsis"/>
              <w:spacing w:before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1C6BD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Cele w ocenie bezpieczeństwa:</w:t>
            </w:r>
          </w:p>
          <w:p w:rsidR="006E1944" w:rsidRPr="001C6BD7" w:rsidRDefault="006E1944" w:rsidP="004F7BC6">
            <w:pPr>
              <w:pStyle w:val="Synopsis"/>
              <w:spacing w:before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1. </w:t>
            </w:r>
            <w:r w:rsidRPr="001C6BD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Ocena wpływu </w:t>
            </w:r>
            <w:proofErr w:type="spellStart"/>
            <w:r w:rsidRPr="001C6BD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sakubitrylu</w:t>
            </w:r>
            <w:proofErr w:type="spellEnd"/>
            <w:r w:rsidRPr="001C6BD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/</w:t>
            </w:r>
            <w:proofErr w:type="spellStart"/>
            <w:r w:rsidRPr="001C6BD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walsartanu</w:t>
            </w:r>
            <w:proofErr w:type="spellEnd"/>
            <w:r w:rsidRPr="001C6BD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w porównaniu z </w:t>
            </w:r>
            <w:proofErr w:type="spellStart"/>
            <w:r w:rsidRPr="001C6BD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ramiprylem</w:t>
            </w:r>
            <w:proofErr w:type="spellEnd"/>
            <w:r w:rsidRPr="001C6BD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na wystąpienie hipotonii (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objawowej lub z </w:t>
            </w:r>
            <w:r w:rsidRPr="001C6BD7">
              <w:rPr>
                <w:rFonts w:ascii="Times New Roman" w:hAnsi="Times New Roman"/>
                <w:sz w:val="24"/>
                <w:szCs w:val="24"/>
                <w:lang w:val="pl-PL"/>
              </w:rPr>
              <w:t>ciśnienie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m</w:t>
            </w:r>
            <w:r w:rsidRPr="001C6BD7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skurczow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 xml:space="preserve">ym </w:t>
            </w:r>
            <w:r w:rsidRPr="001C6BD7">
              <w:rPr>
                <w:rFonts w:ascii="Times New Roman" w:hAnsi="Times New Roman"/>
                <w:sz w:val="24"/>
                <w:szCs w:val="24"/>
                <w:lang w:val="pl-PL"/>
              </w:rPr>
              <w:t>&lt;95 mmHg).</w:t>
            </w:r>
          </w:p>
          <w:p w:rsidR="006E1944" w:rsidRPr="001C6BD7" w:rsidRDefault="006E1944" w:rsidP="004F7BC6">
            <w:pPr>
              <w:pStyle w:val="Synopsis"/>
              <w:spacing w:before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2. </w:t>
            </w:r>
            <w:r w:rsidRPr="001C6BD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Ocena wpływu </w:t>
            </w:r>
            <w:proofErr w:type="spellStart"/>
            <w:r w:rsidRPr="001C6BD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sakubitrylu</w:t>
            </w:r>
            <w:proofErr w:type="spellEnd"/>
            <w:r w:rsidRPr="001C6BD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/</w:t>
            </w:r>
            <w:proofErr w:type="spellStart"/>
            <w:r w:rsidRPr="001C6BD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walsartanu</w:t>
            </w:r>
            <w:proofErr w:type="spellEnd"/>
            <w:r w:rsidRPr="001C6BD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w porównaniu z </w:t>
            </w:r>
            <w:proofErr w:type="spellStart"/>
            <w:r w:rsidRPr="001C6BD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ramiprylem</w:t>
            </w:r>
            <w:proofErr w:type="spellEnd"/>
            <w:r w:rsidRPr="001C6BD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na wystąpienie hiperkaliemii (&gt;</w:t>
            </w:r>
            <w:r w:rsidRPr="001C6BD7">
              <w:rPr>
                <w:rFonts w:ascii="Times New Roman" w:hAnsi="Times New Roman"/>
                <w:sz w:val="24"/>
                <w:szCs w:val="24"/>
                <w:lang w:val="pl-PL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,</w:t>
            </w:r>
            <w:r w:rsidRPr="001C6BD7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4 </w:t>
            </w:r>
            <w:proofErr w:type="spellStart"/>
            <w:r w:rsidRPr="001C6BD7">
              <w:rPr>
                <w:rFonts w:ascii="Times New Roman" w:hAnsi="Times New Roman"/>
                <w:sz w:val="24"/>
                <w:szCs w:val="24"/>
                <w:lang w:val="pl-PL"/>
              </w:rPr>
              <w:t>mmol</w:t>
            </w:r>
            <w:proofErr w:type="spellEnd"/>
            <w:r w:rsidRPr="001C6BD7">
              <w:rPr>
                <w:rFonts w:ascii="Times New Roman" w:hAnsi="Times New Roman"/>
                <w:sz w:val="24"/>
                <w:szCs w:val="24"/>
                <w:lang w:val="pl-PL"/>
              </w:rPr>
              <w:t>/L).</w:t>
            </w:r>
          </w:p>
          <w:p w:rsidR="006E1944" w:rsidRPr="001C6BD7" w:rsidRDefault="006E1944" w:rsidP="004F7BC6">
            <w:pPr>
              <w:pStyle w:val="Synopsis"/>
              <w:spacing w:before="0" w:line="240" w:lineRule="auto"/>
              <w:ind w:left="1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3. </w:t>
            </w:r>
            <w:r w:rsidRPr="001C6BD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Ocena wpływu </w:t>
            </w:r>
            <w:proofErr w:type="spellStart"/>
            <w:r w:rsidRPr="001C6BD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sakubitrylu</w:t>
            </w:r>
            <w:proofErr w:type="spellEnd"/>
            <w:r w:rsidRPr="001C6BD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/</w:t>
            </w:r>
            <w:proofErr w:type="spellStart"/>
            <w:r w:rsidRPr="001C6BD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walsartanu</w:t>
            </w:r>
            <w:proofErr w:type="spellEnd"/>
            <w:r w:rsidRPr="001C6BD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w porównaniu z </w:t>
            </w:r>
            <w:proofErr w:type="spellStart"/>
            <w:r w:rsidRPr="001C6BD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ramiprylem</w:t>
            </w:r>
            <w:proofErr w:type="spellEnd"/>
            <w:r w:rsidRPr="001C6BD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na wystąpienie lub zaostrzenie niewydolności nerek (</w:t>
            </w:r>
            <w:proofErr w:type="spellStart"/>
            <w:r w:rsidRPr="001C6BD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eGFR</w:t>
            </w:r>
            <w:proofErr w:type="spellEnd"/>
            <w:r w:rsidRPr="001C6BD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&lt;</w:t>
            </w:r>
            <w:r w:rsidRPr="001C6BD7">
              <w:rPr>
                <w:rFonts w:ascii="Times New Roman" w:hAnsi="Times New Roman"/>
                <w:sz w:val="24"/>
                <w:szCs w:val="24"/>
                <w:lang w:val="pl-PL"/>
              </w:rPr>
              <w:t>30 ml/min/1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,</w:t>
            </w:r>
            <w:r w:rsidRPr="001C6BD7">
              <w:rPr>
                <w:rFonts w:ascii="Times New Roman" w:hAnsi="Times New Roman"/>
                <w:sz w:val="24"/>
                <w:szCs w:val="24"/>
                <w:lang w:val="pl-PL"/>
              </w:rPr>
              <w:t>73 m</w:t>
            </w:r>
            <w:r w:rsidRPr="004D26BC">
              <w:rPr>
                <w:rFonts w:ascii="Times New Roman" w:hAnsi="Times New Roman"/>
                <w:sz w:val="24"/>
                <w:szCs w:val="24"/>
                <w:vertAlign w:val="superscript"/>
                <w:lang w:val="pl-PL"/>
              </w:rPr>
              <w:t>2</w:t>
            </w:r>
            <w:r w:rsidRPr="001C6BD7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lub spadek </w:t>
            </w:r>
            <w:proofErr w:type="spellStart"/>
            <w:r w:rsidRPr="001C6BD7">
              <w:rPr>
                <w:rFonts w:ascii="Times New Roman" w:hAnsi="Times New Roman"/>
                <w:sz w:val="24"/>
                <w:szCs w:val="24"/>
                <w:lang w:val="pl-PL"/>
              </w:rPr>
              <w:t>eGFR</w:t>
            </w:r>
            <w:proofErr w:type="spellEnd"/>
            <w:r w:rsidRPr="001C6BD7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w stosunku do wizyty W1 lub W2 o więcej niż 25%).</w:t>
            </w:r>
          </w:p>
        </w:tc>
      </w:tr>
      <w:tr w:rsidR="006E1944" w:rsidRPr="00340D99" w:rsidTr="004F7BC6">
        <w:tc>
          <w:tcPr>
            <w:tcW w:w="1509" w:type="dxa"/>
            <w:tcBorders>
              <w:bottom w:val="dotted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E1944" w:rsidRPr="00340D99" w:rsidRDefault="006E1944" w:rsidP="004F7BC6">
            <w:pPr>
              <w:tabs>
                <w:tab w:val="left" w:pos="0"/>
              </w:tabs>
              <w:spacing w:after="0" w:line="10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</w:rPr>
              <w:t>Punkty końcowe</w:t>
            </w:r>
          </w:p>
        </w:tc>
        <w:tc>
          <w:tcPr>
            <w:tcW w:w="7895" w:type="dxa"/>
            <w:tcBorders>
              <w:bottom w:val="dotted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E1944" w:rsidRPr="00340D99" w:rsidRDefault="006E1944" w:rsidP="004F7BC6">
            <w:pPr>
              <w:tabs>
                <w:tab w:val="left" w:pos="0"/>
              </w:tabs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</w:rPr>
            </w:pPr>
            <w:r w:rsidRPr="00340D99">
              <w:rPr>
                <w:rFonts w:ascii="Times New Roman" w:eastAsia="Times New Roman" w:hAnsi="Times New Roman"/>
                <w:sz w:val="24"/>
              </w:rPr>
              <w:t xml:space="preserve">Pierwszorzędowym punktem końcowym w badaniu będzie zmiana objętości końcowo-skurczowej lewej komory w ciągu 12 miesięcy leczenia zmierzona za pomocą rezonansu magnetycznego. </w:t>
            </w:r>
          </w:p>
          <w:p w:rsidR="006E1944" w:rsidRDefault="006E1944" w:rsidP="004F7BC6">
            <w:pPr>
              <w:tabs>
                <w:tab w:val="left" w:pos="0"/>
              </w:tabs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D</w:t>
            </w:r>
            <w:r w:rsidRPr="00340D99">
              <w:rPr>
                <w:rFonts w:ascii="Times New Roman" w:eastAsia="Times New Roman" w:hAnsi="Times New Roman"/>
                <w:sz w:val="24"/>
              </w:rPr>
              <w:t>rugorzędowe punkty końcowe obejmują</w:t>
            </w:r>
            <w:r>
              <w:rPr>
                <w:rFonts w:ascii="Times New Roman" w:eastAsia="Times New Roman" w:hAnsi="Times New Roman"/>
                <w:sz w:val="24"/>
              </w:rPr>
              <w:t>:</w:t>
            </w:r>
          </w:p>
          <w:p w:rsidR="006E1944" w:rsidRDefault="006E1944" w:rsidP="004F7BC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1. Z</w:t>
            </w:r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mian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ę</w:t>
            </w:r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objętości 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końcowo</w:t>
            </w:r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-rozkurczowej lewej komory zmierzonej metodą MRI u pacjentów z </w:t>
            </w:r>
            <w:proofErr w:type="spellStart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HFmrEF</w:t>
            </w:r>
            <w:proofErr w:type="spellEnd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o etiologii niedokrwiennej w okresie 12 miesięcznej terapii.</w:t>
            </w:r>
          </w:p>
          <w:p w:rsidR="006E1944" w:rsidRPr="00335A3E" w:rsidRDefault="006E1944" w:rsidP="004F7BC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2. Z</w:t>
            </w:r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mian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ę</w:t>
            </w:r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 xml:space="preserve">zindeksowanych </w:t>
            </w:r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objętości 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końcowo-skurczowej i końcowo</w:t>
            </w:r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-rozk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urczowej lewej komory zmierzonych</w:t>
            </w:r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metodą MRI u pacjentów z </w:t>
            </w:r>
            <w:proofErr w:type="spellStart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HFmrEF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pl-PL"/>
              </w:rPr>
              <w:br/>
            </w:r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o etiologii niedokrwiennej w okresie 12 miesięcznej terapii.</w:t>
            </w:r>
          </w:p>
          <w:p w:rsidR="006E1944" w:rsidRPr="00335A3E" w:rsidRDefault="006E1944" w:rsidP="004F7BC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3. Z</w:t>
            </w:r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mian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ę</w:t>
            </w:r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frakcji wyrzutowej lew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ej komory zmierzonej metodą MRI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br/>
            </w:r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u pacjentów z </w:t>
            </w:r>
            <w:proofErr w:type="spellStart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HFmrEF</w:t>
            </w:r>
            <w:proofErr w:type="spellEnd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o etiologii niedokrwiennej w okresie 12 miesięcznej terapii.</w:t>
            </w:r>
          </w:p>
          <w:p w:rsidR="006E1944" w:rsidRDefault="006E1944" w:rsidP="004F7BC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4. Z</w:t>
            </w:r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gon z przyczyn sercowo-naczyniowych lub </w:t>
            </w:r>
            <w:r w:rsidRPr="00335A3E">
              <w:rPr>
                <w:rFonts w:ascii="Times New Roman" w:eastAsia="Times New Roman" w:hAnsi="Times New Roman"/>
                <w:sz w:val="24"/>
                <w:szCs w:val="24"/>
                <w:lang w:val="pl-PL"/>
              </w:rPr>
              <w:t>pierwsz</w:t>
            </w:r>
            <w:r>
              <w:rPr>
                <w:rFonts w:ascii="Times New Roman" w:eastAsia="Times New Roman" w:hAnsi="Times New Roman"/>
                <w:sz w:val="24"/>
                <w:szCs w:val="24"/>
                <w:lang w:val="pl-PL"/>
              </w:rPr>
              <w:t>ą hospitalizację</w:t>
            </w:r>
            <w:r>
              <w:rPr>
                <w:rFonts w:ascii="Times New Roman" w:eastAsia="Times New Roman" w:hAnsi="Times New Roman"/>
                <w:sz w:val="24"/>
                <w:szCs w:val="24"/>
                <w:lang w:val="pl-PL"/>
              </w:rPr>
              <w:br/>
            </w:r>
            <w:r w:rsidRPr="00335A3E">
              <w:rPr>
                <w:rFonts w:ascii="Times New Roman" w:eastAsia="Times New Roman" w:hAnsi="Times New Roman"/>
                <w:sz w:val="24"/>
                <w:szCs w:val="24"/>
                <w:lang w:val="pl-PL"/>
              </w:rPr>
              <w:t xml:space="preserve">z powodu HF </w:t>
            </w:r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u pacjentów z </w:t>
            </w:r>
            <w:proofErr w:type="spellStart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HFmrEF</w:t>
            </w:r>
            <w:proofErr w:type="spellEnd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o etiologii niedokrwiennej w okresie 12 miesięcznej terapii</w:t>
            </w:r>
            <w:r w:rsidRPr="00335A3E">
              <w:rPr>
                <w:rFonts w:ascii="Times New Roman" w:eastAsia="Times New Roman" w:hAnsi="Times New Roman"/>
                <w:sz w:val="24"/>
                <w:szCs w:val="24"/>
                <w:lang w:val="pl-PL"/>
              </w:rPr>
              <w:t>.</w:t>
            </w:r>
          </w:p>
          <w:p w:rsidR="006E1944" w:rsidRPr="00335A3E" w:rsidRDefault="006E1944" w:rsidP="004F7BC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5. Z</w:t>
            </w:r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gon z przyczyn sercowo-naczyniowych lub </w:t>
            </w:r>
            <w:r>
              <w:rPr>
                <w:rFonts w:ascii="Times New Roman" w:eastAsia="Times New Roman" w:hAnsi="Times New Roman"/>
                <w:sz w:val="24"/>
                <w:szCs w:val="24"/>
                <w:lang w:val="pl-PL"/>
              </w:rPr>
              <w:t>pierwszą</w:t>
            </w:r>
            <w:r w:rsidRPr="00335A3E">
              <w:rPr>
                <w:rFonts w:ascii="Times New Roman" w:eastAsia="Times New Roman" w:hAnsi="Times New Roman"/>
                <w:sz w:val="24"/>
                <w:szCs w:val="24"/>
                <w:lang w:val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pl-PL"/>
              </w:rPr>
              <w:t xml:space="preserve">lub kolejną </w:t>
            </w:r>
            <w:r w:rsidRPr="00335A3E">
              <w:rPr>
                <w:rFonts w:ascii="Times New Roman" w:eastAsia="Times New Roman" w:hAnsi="Times New Roman"/>
                <w:sz w:val="24"/>
                <w:szCs w:val="24"/>
                <w:lang w:val="pl-PL"/>
              </w:rPr>
              <w:t>hospitalizacj</w:t>
            </w:r>
            <w:r>
              <w:rPr>
                <w:rFonts w:ascii="Times New Roman" w:eastAsia="Times New Roman" w:hAnsi="Times New Roman"/>
                <w:sz w:val="24"/>
                <w:szCs w:val="24"/>
                <w:lang w:val="pl-PL"/>
              </w:rPr>
              <w:t>ę</w:t>
            </w:r>
            <w:r w:rsidRPr="00335A3E">
              <w:rPr>
                <w:rFonts w:ascii="Times New Roman" w:eastAsia="Times New Roman" w:hAnsi="Times New Roman"/>
                <w:sz w:val="24"/>
                <w:szCs w:val="24"/>
                <w:lang w:val="pl-PL"/>
              </w:rPr>
              <w:t xml:space="preserve"> z powodu HF </w:t>
            </w:r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u pacjentów z </w:t>
            </w:r>
            <w:proofErr w:type="spellStart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HFmrEF</w:t>
            </w:r>
            <w:proofErr w:type="spellEnd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o etiologii niedokrwiennej w okresie 12 miesięcznej terapii</w:t>
            </w:r>
            <w:r w:rsidRPr="00335A3E">
              <w:rPr>
                <w:rFonts w:ascii="Times New Roman" w:eastAsia="Times New Roman" w:hAnsi="Times New Roman"/>
                <w:sz w:val="24"/>
                <w:szCs w:val="24"/>
                <w:lang w:val="pl-PL"/>
              </w:rPr>
              <w:t>.</w:t>
            </w:r>
          </w:p>
          <w:p w:rsidR="006E1944" w:rsidRDefault="006E1944" w:rsidP="004F7BC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6. Z</w:t>
            </w:r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gon z przyczyn sercowo-naczyniowych</w:t>
            </w:r>
            <w:r w:rsidRPr="00335A3E">
              <w:rPr>
                <w:rFonts w:ascii="Times New Roman" w:eastAsia="Times New Roman" w:hAnsi="Times New Roman"/>
                <w:sz w:val="24"/>
                <w:szCs w:val="24"/>
                <w:lang w:val="pl-PL"/>
              </w:rPr>
              <w:t xml:space="preserve"> </w:t>
            </w:r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u pacjentów z </w:t>
            </w:r>
            <w:proofErr w:type="spellStart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HFmrEF</w:t>
            </w:r>
            <w:proofErr w:type="spellEnd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o etiologii niedokrwiennej w okresie 12 miesięcznej terapii.</w:t>
            </w:r>
          </w:p>
          <w:p w:rsidR="006E1944" w:rsidRDefault="006E1944" w:rsidP="004F7BC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7. P</w:t>
            </w:r>
            <w:r>
              <w:rPr>
                <w:rFonts w:ascii="Times New Roman" w:eastAsia="Times New Roman" w:hAnsi="Times New Roman"/>
                <w:sz w:val="24"/>
                <w:szCs w:val="24"/>
                <w:lang w:val="pl-PL"/>
              </w:rPr>
              <w:t>ierwszą hospitalizację</w:t>
            </w:r>
            <w:r w:rsidRPr="00335A3E">
              <w:rPr>
                <w:rFonts w:ascii="Times New Roman" w:eastAsia="Times New Roman" w:hAnsi="Times New Roman"/>
                <w:sz w:val="24"/>
                <w:szCs w:val="24"/>
                <w:lang w:val="pl-PL"/>
              </w:rPr>
              <w:t xml:space="preserve"> z powodu HF </w:t>
            </w:r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u pacjentów z </w:t>
            </w:r>
            <w:proofErr w:type="spellStart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HFmrEF</w:t>
            </w:r>
            <w:proofErr w:type="spellEnd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o etiologii niedokrwiennej w okresie 12 miesięcznej terapii</w:t>
            </w:r>
            <w:r w:rsidRPr="00335A3E">
              <w:rPr>
                <w:rFonts w:ascii="Times New Roman" w:eastAsia="Times New Roman" w:hAnsi="Times New Roman"/>
                <w:sz w:val="24"/>
                <w:szCs w:val="24"/>
                <w:lang w:val="pl-PL"/>
              </w:rPr>
              <w:t>.</w:t>
            </w:r>
          </w:p>
          <w:p w:rsidR="006E1944" w:rsidRPr="00335A3E" w:rsidRDefault="006E1944" w:rsidP="004F7BC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8. P</w:t>
            </w:r>
            <w:r>
              <w:rPr>
                <w:rFonts w:ascii="Times New Roman" w:eastAsia="Times New Roman" w:hAnsi="Times New Roman"/>
                <w:sz w:val="24"/>
                <w:szCs w:val="24"/>
                <w:lang w:val="pl-PL"/>
              </w:rPr>
              <w:t>ierwszą</w:t>
            </w:r>
            <w:r w:rsidRPr="00335A3E">
              <w:rPr>
                <w:rFonts w:ascii="Times New Roman" w:eastAsia="Times New Roman" w:hAnsi="Times New Roman"/>
                <w:sz w:val="24"/>
                <w:szCs w:val="24"/>
                <w:lang w:val="pl-PL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pl-PL"/>
              </w:rPr>
              <w:t>lub kolejną hospitalizację</w:t>
            </w:r>
            <w:r w:rsidRPr="00335A3E">
              <w:rPr>
                <w:rFonts w:ascii="Times New Roman" w:eastAsia="Times New Roman" w:hAnsi="Times New Roman"/>
                <w:sz w:val="24"/>
                <w:szCs w:val="24"/>
                <w:lang w:val="pl-PL"/>
              </w:rPr>
              <w:t xml:space="preserve"> z powodu HF 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 xml:space="preserve">u pacjentów z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pl-PL"/>
              </w:rPr>
              <w:t>HFmrEF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pl-PL"/>
              </w:rPr>
              <w:br/>
            </w:r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o etiologii niedokrwiennej w okresie 12 miesięcznej terapii</w:t>
            </w:r>
            <w:r w:rsidRPr="00335A3E">
              <w:rPr>
                <w:rFonts w:ascii="Times New Roman" w:eastAsia="Times New Roman" w:hAnsi="Times New Roman"/>
                <w:sz w:val="24"/>
                <w:szCs w:val="24"/>
                <w:lang w:val="pl-PL"/>
              </w:rPr>
              <w:t>.</w:t>
            </w:r>
          </w:p>
          <w:p w:rsidR="006E1944" w:rsidRPr="00340D99" w:rsidRDefault="006E1944" w:rsidP="004F7BC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lastRenderedPageBreak/>
              <w:t>9. L</w:t>
            </w:r>
            <w:r w:rsidRPr="00340D99">
              <w:rPr>
                <w:rFonts w:ascii="Times New Roman" w:hAnsi="Times New Roman"/>
                <w:sz w:val="24"/>
                <w:szCs w:val="24"/>
                <w:lang w:val="pl-PL"/>
              </w:rPr>
              <w:t>iczb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ę</w:t>
            </w:r>
            <w:r w:rsidRPr="00340D99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dni do wystąpienia zgonu z przyczyn sercowo-naczyniowych lub </w:t>
            </w:r>
            <w:r w:rsidRPr="00340D99">
              <w:rPr>
                <w:rFonts w:ascii="Times New Roman" w:eastAsia="Times New Roman" w:hAnsi="Times New Roman"/>
                <w:sz w:val="24"/>
                <w:szCs w:val="24"/>
                <w:lang w:val="pl-PL"/>
              </w:rPr>
              <w:t xml:space="preserve">pierwszej hospitalizacji z powodu HF </w:t>
            </w:r>
            <w:r w:rsidRPr="00340D99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u pacjentów z </w:t>
            </w:r>
            <w:proofErr w:type="spellStart"/>
            <w:r w:rsidRPr="00340D99">
              <w:rPr>
                <w:rFonts w:ascii="Times New Roman" w:hAnsi="Times New Roman"/>
                <w:sz w:val="24"/>
                <w:szCs w:val="24"/>
                <w:lang w:val="pl-PL"/>
              </w:rPr>
              <w:t>HFmrEF</w:t>
            </w:r>
            <w:proofErr w:type="spellEnd"/>
            <w:r w:rsidRPr="00340D99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o etiologii niedokrwiennej w okresie 12 miesięcznej terapii</w:t>
            </w:r>
            <w:r w:rsidRPr="00340D99">
              <w:rPr>
                <w:rFonts w:ascii="Times New Roman" w:eastAsia="Times New Roman" w:hAnsi="Times New Roman"/>
                <w:sz w:val="24"/>
                <w:szCs w:val="24"/>
                <w:lang w:val="pl-PL"/>
              </w:rPr>
              <w:t xml:space="preserve">. </w:t>
            </w:r>
          </w:p>
          <w:p w:rsidR="006E1944" w:rsidRPr="005771DD" w:rsidRDefault="006E1944" w:rsidP="004F7BC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10. Z</w:t>
            </w:r>
            <w:r w:rsidRPr="00340D99">
              <w:rPr>
                <w:rFonts w:ascii="Times New Roman" w:hAnsi="Times New Roman"/>
                <w:sz w:val="24"/>
                <w:szCs w:val="24"/>
                <w:lang w:val="pl-PL"/>
              </w:rPr>
              <w:t>gon z jakiejkolwiek przyczyny</w:t>
            </w:r>
            <w:r w:rsidRPr="00340D99">
              <w:rPr>
                <w:rFonts w:ascii="Times New Roman" w:eastAsia="Times New Roman" w:hAnsi="Times New Roman"/>
                <w:sz w:val="24"/>
                <w:szCs w:val="24"/>
                <w:lang w:val="pl-PL"/>
              </w:rPr>
              <w:t xml:space="preserve"> </w:t>
            </w:r>
            <w:r w:rsidRPr="00340D99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u pacjentów z </w:t>
            </w:r>
            <w:proofErr w:type="spellStart"/>
            <w:r w:rsidRPr="00340D99">
              <w:rPr>
                <w:rFonts w:ascii="Times New Roman" w:hAnsi="Times New Roman"/>
                <w:sz w:val="24"/>
                <w:szCs w:val="24"/>
                <w:lang w:val="pl-PL"/>
              </w:rPr>
              <w:t>HFmrEF</w:t>
            </w:r>
            <w:proofErr w:type="spellEnd"/>
            <w:r w:rsidRPr="00340D99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o etiologii niedokrwiennej w okresie 12 miesięcznej terapii.</w:t>
            </w:r>
          </w:p>
        </w:tc>
      </w:tr>
      <w:tr w:rsidR="006E1944" w:rsidRPr="00340D99" w:rsidTr="004F7BC6">
        <w:tc>
          <w:tcPr>
            <w:tcW w:w="1509" w:type="dxa"/>
            <w:tcBorders>
              <w:top w:val="dotted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E1944" w:rsidRDefault="006E1944" w:rsidP="004F7BC6">
            <w:pPr>
              <w:tabs>
                <w:tab w:val="left" w:pos="0"/>
              </w:tabs>
              <w:spacing w:after="0" w:line="100" w:lineRule="atLeast"/>
              <w:rPr>
                <w:rFonts w:ascii="Times New Roman" w:eastAsia="Times New Roman" w:hAnsi="Times New Roman"/>
                <w:b/>
                <w:bCs/>
                <w:sz w:val="24"/>
              </w:rPr>
            </w:pPr>
          </w:p>
        </w:tc>
        <w:tc>
          <w:tcPr>
            <w:tcW w:w="7895" w:type="dxa"/>
            <w:tcBorders>
              <w:top w:val="dotted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E1944" w:rsidRDefault="006E1944" w:rsidP="004F7BC6">
            <w:pPr>
              <w:tabs>
                <w:tab w:val="left" w:pos="0"/>
              </w:tabs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Punkty końcowe w ocenie bezpieczeństwa:</w:t>
            </w:r>
          </w:p>
          <w:p w:rsidR="006E1944" w:rsidRPr="00EC572A" w:rsidRDefault="006E1944" w:rsidP="004F7BC6">
            <w:pPr>
              <w:pStyle w:val="Synopsis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1. Wystąpienie hipotonii objawowej lub z </w:t>
            </w:r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ciśnienie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m skurczowym</w:t>
            </w:r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&lt;</w:t>
            </w:r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95 mmHg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.</w:t>
            </w:r>
          </w:p>
          <w:p w:rsidR="006E1944" w:rsidRPr="00EC572A" w:rsidRDefault="006E1944" w:rsidP="004F7BC6">
            <w:pPr>
              <w:pStyle w:val="Synopsis"/>
              <w:spacing w:before="0" w:line="240" w:lineRule="auto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2. Wystąpienie hiperkaliemii &gt;</w:t>
            </w:r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,</w:t>
            </w:r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4 </w:t>
            </w:r>
            <w:proofErr w:type="spellStart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mmol</w:t>
            </w:r>
            <w:proofErr w:type="spellEnd"/>
            <w:r w:rsidRPr="00335A3E">
              <w:rPr>
                <w:rFonts w:ascii="Times New Roman" w:hAnsi="Times New Roman"/>
                <w:sz w:val="24"/>
                <w:szCs w:val="24"/>
                <w:lang w:val="pl-PL"/>
              </w:rPr>
              <w:t>/L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.</w:t>
            </w:r>
          </w:p>
          <w:p w:rsidR="006E1944" w:rsidRPr="00340D99" w:rsidRDefault="006E1944" w:rsidP="004F7BC6">
            <w:pPr>
              <w:tabs>
                <w:tab w:val="left" w:pos="0"/>
              </w:tabs>
              <w:spacing w:after="0" w:line="100" w:lineRule="atLeast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Wystąpienie niewydolności nerek z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eGFR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&lt;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30 ml/min/1,73 m</w:t>
            </w:r>
            <w:r w:rsidRPr="004D26BC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lub zaostrzenie niewydolności nerek ze </w:t>
            </w:r>
            <w:r w:rsidRPr="00335A3E">
              <w:rPr>
                <w:rFonts w:ascii="Times New Roman" w:eastAsia="Times New Roman" w:hAnsi="Times New Roman"/>
                <w:sz w:val="24"/>
                <w:szCs w:val="24"/>
              </w:rPr>
              <w:t>spad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kiem</w:t>
            </w:r>
            <w:r w:rsidRPr="00335A3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35A3E">
              <w:rPr>
                <w:rFonts w:ascii="Times New Roman" w:eastAsia="Times New Roman" w:hAnsi="Times New Roman"/>
                <w:sz w:val="24"/>
                <w:szCs w:val="24"/>
              </w:rPr>
              <w:t>eGFR</w:t>
            </w:r>
            <w:proofErr w:type="spellEnd"/>
            <w:r w:rsidRPr="00335A3E">
              <w:rPr>
                <w:rFonts w:ascii="Times New Roman" w:eastAsia="Times New Roman" w:hAnsi="Times New Roman"/>
                <w:sz w:val="24"/>
                <w:szCs w:val="24"/>
              </w:rPr>
              <w:t xml:space="preserve"> w stosunku do wizyty W1 lub W2 o więcej niż 25%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E1944" w:rsidRPr="00340D99" w:rsidTr="004F7BC6">
        <w:tc>
          <w:tcPr>
            <w:tcW w:w="1509" w:type="dxa"/>
            <w:shd w:val="clear" w:color="auto" w:fill="auto"/>
            <w:tcMar>
              <w:left w:w="57" w:type="dxa"/>
              <w:right w:w="57" w:type="dxa"/>
            </w:tcMar>
          </w:tcPr>
          <w:p w:rsidR="006E1944" w:rsidRPr="00340D99" w:rsidRDefault="006E1944" w:rsidP="004F7BC6">
            <w:pPr>
              <w:tabs>
                <w:tab w:val="left" w:pos="0"/>
              </w:tabs>
              <w:spacing w:after="0" w:line="100" w:lineRule="atLeast"/>
              <w:rPr>
                <w:rFonts w:ascii="Times New Roman" w:eastAsia="Times New Roman" w:hAnsi="Times New Roman"/>
                <w:sz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</w:rPr>
              <w:t>Badana populacja</w:t>
            </w:r>
          </w:p>
        </w:tc>
        <w:tc>
          <w:tcPr>
            <w:tcW w:w="7895" w:type="dxa"/>
            <w:shd w:val="clear" w:color="auto" w:fill="auto"/>
            <w:tcMar>
              <w:left w:w="57" w:type="dxa"/>
              <w:right w:w="57" w:type="dxa"/>
            </w:tcMar>
          </w:tcPr>
          <w:p w:rsidR="006E1944" w:rsidRPr="00340D99" w:rsidRDefault="006E1944" w:rsidP="004F7BC6">
            <w:pPr>
              <w:tabs>
                <w:tab w:val="left" w:pos="0"/>
              </w:tabs>
              <w:spacing w:after="0" w:line="100" w:lineRule="atLeast"/>
              <w:jc w:val="both"/>
              <w:rPr>
                <w:sz w:val="24"/>
              </w:rPr>
            </w:pPr>
            <w:r w:rsidRPr="00434501">
              <w:rPr>
                <w:rFonts w:ascii="Times New Roman" w:eastAsia="Times New Roman" w:hAnsi="Times New Roman"/>
                <w:sz w:val="24"/>
                <w:szCs w:val="24"/>
              </w:rPr>
              <w:t>666 pacjentów</w:t>
            </w:r>
            <w:r w:rsidRPr="00434501">
              <w:rPr>
                <w:rFonts w:ascii="Times New Roman" w:eastAsia="Times New Roman" w:hAnsi="Times New Roman"/>
                <w:sz w:val="24"/>
              </w:rPr>
              <w:t>, obu</w:t>
            </w:r>
            <w:r w:rsidRPr="00340D99">
              <w:rPr>
                <w:rFonts w:ascii="Times New Roman" w:eastAsia="Times New Roman" w:hAnsi="Times New Roman"/>
                <w:sz w:val="24"/>
              </w:rPr>
              <w:t xml:space="preserve"> płci, powyżej 18 r.ż., z </w:t>
            </w:r>
            <w:proofErr w:type="spellStart"/>
            <w:r w:rsidRPr="00340D99">
              <w:rPr>
                <w:rFonts w:ascii="Times New Roman" w:eastAsia="Times New Roman" w:hAnsi="Times New Roman"/>
                <w:sz w:val="24"/>
              </w:rPr>
              <w:t>HFmrEF</w:t>
            </w:r>
            <w:proofErr w:type="spellEnd"/>
            <w:r w:rsidRPr="00340D99">
              <w:rPr>
                <w:rFonts w:ascii="Times New Roman" w:eastAsia="Times New Roman" w:hAnsi="Times New Roman"/>
                <w:sz w:val="24"/>
              </w:rPr>
              <w:t xml:space="preserve"> o etiologii niedokrwiennej, objawami HF w klasie II-IV według N</w:t>
            </w:r>
            <w:r>
              <w:rPr>
                <w:rFonts w:ascii="Times New Roman" w:eastAsia="Times New Roman" w:hAnsi="Times New Roman"/>
                <w:sz w:val="24"/>
              </w:rPr>
              <w:t xml:space="preserve">ew York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Heart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Association</w:t>
            </w:r>
            <w:proofErr w:type="spellEnd"/>
            <w:r w:rsidRPr="00340D99">
              <w:rPr>
                <w:rFonts w:ascii="Times New Roman" w:eastAsia="Times New Roman" w:hAnsi="Times New Roman"/>
                <w:sz w:val="24"/>
              </w:rPr>
              <w:t xml:space="preserve">, podwyższonym poziomem peptydów </w:t>
            </w:r>
            <w:proofErr w:type="spellStart"/>
            <w:r w:rsidRPr="00340D99">
              <w:rPr>
                <w:rFonts w:ascii="Times New Roman" w:eastAsia="Times New Roman" w:hAnsi="Times New Roman"/>
                <w:sz w:val="24"/>
              </w:rPr>
              <w:t>natriuretycznych</w:t>
            </w:r>
            <w:proofErr w:type="spellEnd"/>
            <w:r w:rsidRPr="00340D99">
              <w:rPr>
                <w:rFonts w:ascii="Times New Roman" w:eastAsia="Times New Roman" w:hAnsi="Times New Roman"/>
                <w:sz w:val="24"/>
              </w:rPr>
              <w:t xml:space="preserve"> w osoczu i frakcją wyrzutową lewej komory wynoszącą 40-49%</w:t>
            </w:r>
            <w:r>
              <w:rPr>
                <w:rFonts w:ascii="Times New Roman" w:eastAsia="Times New Roman" w:hAnsi="Times New Roman"/>
                <w:sz w:val="24"/>
              </w:rPr>
              <w:t>.</w:t>
            </w:r>
          </w:p>
        </w:tc>
      </w:tr>
      <w:tr w:rsidR="006E1944" w:rsidRPr="00340D99" w:rsidTr="004F7BC6">
        <w:tc>
          <w:tcPr>
            <w:tcW w:w="1509" w:type="dxa"/>
            <w:shd w:val="clear" w:color="auto" w:fill="auto"/>
            <w:tcMar>
              <w:left w:w="57" w:type="dxa"/>
              <w:right w:w="57" w:type="dxa"/>
            </w:tcMar>
          </w:tcPr>
          <w:p w:rsidR="006E1944" w:rsidRPr="00340D99" w:rsidRDefault="006E1944" w:rsidP="004F7BC6">
            <w:pPr>
              <w:tabs>
                <w:tab w:val="left" w:pos="0"/>
              </w:tabs>
              <w:spacing w:after="0" w:line="10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</w:rPr>
              <w:t>Faza badania</w:t>
            </w:r>
          </w:p>
        </w:tc>
        <w:tc>
          <w:tcPr>
            <w:tcW w:w="7895" w:type="dxa"/>
            <w:shd w:val="clear" w:color="auto" w:fill="auto"/>
            <w:tcMar>
              <w:left w:w="57" w:type="dxa"/>
              <w:right w:w="57" w:type="dxa"/>
            </w:tcMar>
          </w:tcPr>
          <w:p w:rsidR="006E1944" w:rsidRPr="00340D99" w:rsidRDefault="006E1944" w:rsidP="004F7BC6">
            <w:pPr>
              <w:tabs>
                <w:tab w:val="left" w:pos="0"/>
              </w:tabs>
              <w:spacing w:after="0" w:line="100" w:lineRule="atLeast"/>
              <w:rPr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III</w:t>
            </w:r>
            <w:r w:rsidRPr="00340D99">
              <w:rPr>
                <w:rFonts w:ascii="Times New Roman" w:eastAsia="Times New Roman" w:hAnsi="Times New Roman"/>
                <w:sz w:val="24"/>
              </w:rPr>
              <w:t xml:space="preserve"> faza</w:t>
            </w:r>
          </w:p>
        </w:tc>
      </w:tr>
      <w:tr w:rsidR="006E1944" w:rsidRPr="00667766" w:rsidTr="004F7BC6">
        <w:tc>
          <w:tcPr>
            <w:tcW w:w="1509" w:type="dxa"/>
            <w:shd w:val="clear" w:color="auto" w:fill="auto"/>
            <w:tcMar>
              <w:left w:w="57" w:type="dxa"/>
              <w:right w:w="57" w:type="dxa"/>
            </w:tcMar>
          </w:tcPr>
          <w:p w:rsidR="006E1944" w:rsidRDefault="006E1944" w:rsidP="004F7BC6">
            <w:pPr>
              <w:tabs>
                <w:tab w:val="left" w:pos="0"/>
              </w:tabs>
              <w:spacing w:after="0" w:line="100" w:lineRule="atLeast"/>
              <w:rPr>
                <w:rFonts w:ascii="Times New Roman" w:eastAsia="Times New Roman" w:hAnsi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</w:rPr>
              <w:t>Kryteria włączenia</w:t>
            </w:r>
          </w:p>
        </w:tc>
        <w:tc>
          <w:tcPr>
            <w:tcW w:w="7895" w:type="dxa"/>
            <w:shd w:val="clear" w:color="auto" w:fill="auto"/>
            <w:tcMar>
              <w:left w:w="57" w:type="dxa"/>
              <w:right w:w="57" w:type="dxa"/>
            </w:tcMar>
          </w:tcPr>
          <w:p w:rsidR="006E1944" w:rsidRPr="00335A3E" w:rsidRDefault="006E1944" w:rsidP="006E1944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71" w:hanging="37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35A3E">
              <w:rPr>
                <w:rFonts w:ascii="Times New Roman" w:eastAsia="MS Mincho" w:hAnsi="Times New Roman"/>
                <w:sz w:val="24"/>
                <w:szCs w:val="24"/>
              </w:rPr>
              <w:t>Pisemna zgodna na udział w badaniu wyrażona przed przeprowadzeniem jakichkolwiek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 procedur związanych z badaniem.</w:t>
            </w:r>
          </w:p>
          <w:p w:rsidR="006E1944" w:rsidRPr="00335A3E" w:rsidRDefault="006E1944" w:rsidP="006E1944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71" w:hanging="37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Wiek 18 lat i więcej.</w:t>
            </w:r>
            <w:r w:rsidRPr="00335A3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6E1944" w:rsidRPr="00335A3E" w:rsidRDefault="006E1944" w:rsidP="006E1944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71" w:hanging="371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35A3E">
              <w:rPr>
                <w:rFonts w:ascii="Times New Roman" w:eastAsia="Times New Roman" w:hAnsi="Times New Roman"/>
                <w:sz w:val="24"/>
                <w:szCs w:val="24"/>
              </w:rPr>
              <w:t xml:space="preserve">Objawowa HF w klasie II do IV wg </w:t>
            </w:r>
            <w:r w:rsidRPr="00335A3E">
              <w:rPr>
                <w:rFonts w:ascii="Times New Roman" w:hAnsi="Times New Roman"/>
                <w:sz w:val="24"/>
                <w:szCs w:val="24"/>
              </w:rPr>
              <w:t>NYHA</w:t>
            </w:r>
            <w:r w:rsidRPr="00335A3E">
              <w:rPr>
                <w:rFonts w:ascii="Times New Roman" w:eastAsia="Times New Roman" w:hAnsi="Times New Roman"/>
                <w:sz w:val="24"/>
                <w:szCs w:val="24"/>
              </w:rPr>
              <w:t xml:space="preserve"> o etiologii niedokrwiennej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335A3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6E1944" w:rsidRPr="00335A3E" w:rsidRDefault="006E1944" w:rsidP="006E1944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71" w:hanging="3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5A3E">
              <w:rPr>
                <w:rFonts w:ascii="Times New Roman" w:eastAsia="Times New Roman" w:hAnsi="Times New Roman"/>
                <w:sz w:val="24"/>
                <w:szCs w:val="24"/>
              </w:rPr>
              <w:t>F</w:t>
            </w:r>
            <w:r w:rsidRPr="00335A3E">
              <w:rPr>
                <w:rFonts w:ascii="Times New Roman" w:hAnsi="Times New Roman"/>
                <w:sz w:val="24"/>
                <w:szCs w:val="24"/>
              </w:rPr>
              <w:t xml:space="preserve">rakcja wyrzutowa lewej komory w momencie wizyty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przesiewowej </w:t>
            </w:r>
            <w:r w:rsidRPr="00335A3E">
              <w:rPr>
                <w:rFonts w:ascii="Times New Roman" w:hAnsi="Times New Roman"/>
                <w:sz w:val="24"/>
                <w:szCs w:val="24"/>
              </w:rPr>
              <w:t>w przedziale 40-49%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6E1944" w:rsidRPr="00335A3E" w:rsidRDefault="006E1944" w:rsidP="006E1944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71" w:hanging="37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Podwyższone stężenie peptydu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natriuretycznego</w:t>
            </w:r>
            <w:proofErr w:type="spellEnd"/>
            <w:r w:rsidRPr="00335A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5A3E">
              <w:rPr>
                <w:rFonts w:ascii="Times New Roman" w:eastAsia="Times New Roman" w:hAnsi="Times New Roman"/>
                <w:sz w:val="24"/>
                <w:szCs w:val="24"/>
              </w:rPr>
              <w:t xml:space="preserve">NT-proBNP≥125 </w:t>
            </w:r>
            <w:proofErr w:type="spellStart"/>
            <w:r w:rsidRPr="00335A3E">
              <w:rPr>
                <w:rFonts w:ascii="Times New Roman" w:eastAsia="Times New Roman" w:hAnsi="Times New Roman"/>
                <w:sz w:val="24"/>
                <w:szCs w:val="24"/>
              </w:rPr>
              <w:t>pg</w:t>
            </w:r>
            <w:proofErr w:type="spellEnd"/>
            <w:r w:rsidRPr="00335A3E">
              <w:rPr>
                <w:rFonts w:ascii="Times New Roman" w:eastAsia="Times New Roman" w:hAnsi="Times New Roman"/>
                <w:sz w:val="24"/>
                <w:szCs w:val="24"/>
              </w:rPr>
              <w:t>/ml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6E1944" w:rsidRPr="00335A3E" w:rsidRDefault="006E1944" w:rsidP="006E1944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71" w:hanging="3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5A3E">
              <w:rPr>
                <w:rFonts w:ascii="Times New Roman" w:hAnsi="Times New Roman"/>
                <w:sz w:val="24"/>
                <w:szCs w:val="24"/>
              </w:rPr>
              <w:t>Cechy strukturalnej/czynnościow</w:t>
            </w:r>
            <w:r>
              <w:rPr>
                <w:rFonts w:ascii="Times New Roman" w:hAnsi="Times New Roman"/>
                <w:sz w:val="24"/>
                <w:szCs w:val="24"/>
              </w:rPr>
              <w:t>ej choroby mięśnia lewej komory.</w:t>
            </w:r>
          </w:p>
          <w:p w:rsidR="006E1944" w:rsidRPr="00667766" w:rsidRDefault="006E1944" w:rsidP="006E1944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371" w:hanging="37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Optymalna farmakoterapia ACEI lub ARB oraz </w:t>
            </w:r>
            <w:r w:rsidRPr="007A481C">
              <w:rPr>
                <w:rFonts w:ascii="Times New Roman" w:hAnsi="Times New Roman"/>
                <w:sz w:val="24"/>
                <w:szCs w:val="24"/>
              </w:rPr>
              <w:t>beta-</w:t>
            </w:r>
            <w:proofErr w:type="spellStart"/>
            <w:r w:rsidRPr="007A481C">
              <w:rPr>
                <w:rFonts w:ascii="Times New Roman" w:hAnsi="Times New Roman"/>
                <w:sz w:val="24"/>
                <w:szCs w:val="24"/>
              </w:rPr>
              <w:t>blokerem</w:t>
            </w:r>
            <w:proofErr w:type="spellEnd"/>
            <w:r w:rsidRPr="007A48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A481C">
              <w:rPr>
                <w:rFonts w:ascii="Times New Roman" w:eastAsia="Times New Roman" w:hAnsi="Times New Roman"/>
                <w:sz w:val="24"/>
                <w:szCs w:val="24"/>
              </w:rPr>
              <w:t xml:space="preserve">o ile nie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są</w:t>
            </w:r>
            <w:r w:rsidRPr="007A481C">
              <w:rPr>
                <w:rFonts w:ascii="Times New Roman" w:eastAsia="Times New Roman" w:hAnsi="Times New Roman"/>
                <w:sz w:val="24"/>
                <w:szCs w:val="24"/>
              </w:rPr>
              <w:t xml:space="preserve"> przeciwwskazane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6E1944" w:rsidRPr="00667766" w:rsidTr="004F7BC6">
        <w:tc>
          <w:tcPr>
            <w:tcW w:w="1509" w:type="dxa"/>
            <w:shd w:val="clear" w:color="auto" w:fill="auto"/>
            <w:tcMar>
              <w:left w:w="57" w:type="dxa"/>
              <w:right w:w="57" w:type="dxa"/>
            </w:tcMar>
          </w:tcPr>
          <w:p w:rsidR="006E1944" w:rsidRPr="00667766" w:rsidRDefault="006E1944" w:rsidP="004F7BC6">
            <w:pPr>
              <w:tabs>
                <w:tab w:val="left" w:pos="0"/>
              </w:tabs>
              <w:spacing w:after="0" w:line="100" w:lineRule="atLeast"/>
              <w:rPr>
                <w:rFonts w:ascii="Times New Roman" w:eastAsia="Times New Roman" w:hAnsi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</w:rPr>
              <w:t>Główne kryteria wyłączenia</w:t>
            </w:r>
          </w:p>
        </w:tc>
        <w:tc>
          <w:tcPr>
            <w:tcW w:w="7895" w:type="dxa"/>
            <w:shd w:val="clear" w:color="auto" w:fill="auto"/>
            <w:tcMar>
              <w:left w:w="57" w:type="dxa"/>
              <w:right w:w="57" w:type="dxa"/>
            </w:tcMar>
          </w:tcPr>
          <w:p w:rsidR="006E1944" w:rsidRPr="00335A3E" w:rsidRDefault="006E1944" w:rsidP="006E1944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369" w:hanging="36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35A3E">
              <w:rPr>
                <w:rFonts w:ascii="Times New Roman" w:eastAsia="Times New Roman" w:hAnsi="Times New Roman"/>
                <w:sz w:val="24"/>
                <w:szCs w:val="24"/>
              </w:rPr>
              <w:t xml:space="preserve">Historia nadwrażliwości lub alergii na którykolwiek z badanych leków lub leków podobnych klas chemicznych, ACEI, ARB lub inhibitorów </w:t>
            </w:r>
            <w:proofErr w:type="spellStart"/>
            <w:r w:rsidRPr="00335A3E">
              <w:rPr>
                <w:rFonts w:ascii="Times New Roman" w:eastAsia="Times New Roman" w:hAnsi="Times New Roman"/>
                <w:sz w:val="24"/>
                <w:szCs w:val="24"/>
              </w:rPr>
              <w:t>neprylizyny</w:t>
            </w:r>
            <w:proofErr w:type="spellEnd"/>
            <w:r w:rsidRPr="00335A3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6E1944" w:rsidRPr="00335A3E" w:rsidRDefault="006E1944" w:rsidP="006E1944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369" w:hanging="36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35A3E">
              <w:rPr>
                <w:rFonts w:ascii="Times New Roman" w:eastAsia="Times New Roman" w:hAnsi="Times New Roman"/>
                <w:sz w:val="24"/>
                <w:szCs w:val="24"/>
              </w:rPr>
              <w:t>Wcześniejsza historia nietolerancji na zalecane dawki docelowe ACEI lub ARB.</w:t>
            </w:r>
          </w:p>
          <w:p w:rsidR="006E1944" w:rsidRPr="00335A3E" w:rsidRDefault="006E1944" w:rsidP="006E1944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369" w:hanging="36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35A3E">
              <w:rPr>
                <w:rFonts w:ascii="Times New Roman" w:eastAsia="Times New Roman" w:hAnsi="Times New Roman"/>
                <w:sz w:val="24"/>
                <w:szCs w:val="24"/>
              </w:rPr>
              <w:t>Znana historia obrzęku naczynioruchowego.</w:t>
            </w:r>
          </w:p>
          <w:p w:rsidR="006E1944" w:rsidRPr="00335A3E" w:rsidRDefault="006E1944" w:rsidP="006E1944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369" w:hanging="36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35A3E">
              <w:rPr>
                <w:rFonts w:ascii="Times New Roman" w:eastAsia="Times New Roman" w:hAnsi="Times New Roman"/>
                <w:sz w:val="24"/>
                <w:szCs w:val="24"/>
              </w:rPr>
              <w:t>Wymóg jednoczesnego leczenia ACEI i ARB.</w:t>
            </w:r>
          </w:p>
          <w:p w:rsidR="006E1944" w:rsidRPr="00335A3E" w:rsidRDefault="006E1944" w:rsidP="006E1944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369" w:hanging="36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O</w:t>
            </w:r>
            <w:r w:rsidRPr="00335A3E">
              <w:rPr>
                <w:rFonts w:ascii="Times New Roman" w:eastAsia="Times New Roman" w:hAnsi="Times New Roman"/>
                <w:sz w:val="24"/>
                <w:szCs w:val="24"/>
              </w:rPr>
              <w:t>stra niewyrównana HF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335A3E">
              <w:rPr>
                <w:rFonts w:ascii="Times New Roman" w:eastAsia="Times New Roman" w:hAnsi="Times New Roman"/>
                <w:sz w:val="24"/>
                <w:szCs w:val="24"/>
              </w:rPr>
              <w:t>przebyt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 w:rsidRPr="00335A3E">
              <w:rPr>
                <w:rFonts w:ascii="Times New Roman" w:eastAsia="Times New Roman" w:hAnsi="Times New Roman"/>
                <w:sz w:val="24"/>
                <w:szCs w:val="24"/>
              </w:rPr>
              <w:t xml:space="preserve"> w ciągu 6 tygodni przed wizytą przesiewową.</w:t>
            </w:r>
          </w:p>
          <w:p w:rsidR="006E1944" w:rsidRPr="005771DD" w:rsidRDefault="006E1944" w:rsidP="006E1944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369" w:hanging="36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71DD">
              <w:rPr>
                <w:rFonts w:ascii="Times New Roman" w:eastAsia="Times New Roman" w:hAnsi="Times New Roman"/>
                <w:sz w:val="24"/>
                <w:szCs w:val="24"/>
              </w:rPr>
              <w:t xml:space="preserve">Objawowe niedociśnienie skurczowe ciśnienie krwi &lt;100 mmHg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na</w:t>
            </w:r>
            <w:r w:rsidRPr="005771DD">
              <w:rPr>
                <w:rFonts w:ascii="Times New Roman" w:eastAsia="Times New Roman" w:hAnsi="Times New Roman"/>
                <w:sz w:val="24"/>
                <w:szCs w:val="24"/>
              </w:rPr>
              <w:t xml:space="preserve"> wizy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cie</w:t>
            </w:r>
            <w:r w:rsidRPr="005771DD">
              <w:rPr>
                <w:rFonts w:ascii="Times New Roman" w:eastAsia="Times New Roman" w:hAnsi="Times New Roman"/>
                <w:sz w:val="24"/>
                <w:szCs w:val="24"/>
              </w:rPr>
              <w:t xml:space="preserve"> przesiewowej.</w:t>
            </w:r>
          </w:p>
          <w:p w:rsidR="006E1944" w:rsidRPr="00335A3E" w:rsidRDefault="006E1944" w:rsidP="006E1944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369" w:hanging="36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35A3E">
              <w:rPr>
                <w:rFonts w:ascii="Times New Roman" w:eastAsia="Times New Roman" w:hAnsi="Times New Roman"/>
                <w:sz w:val="24"/>
                <w:szCs w:val="24"/>
              </w:rPr>
              <w:t xml:space="preserve">Obecne lub poprzednie leczenie </w:t>
            </w:r>
            <w:proofErr w:type="spellStart"/>
            <w:r w:rsidRPr="00335A3E">
              <w:rPr>
                <w:rFonts w:ascii="Times New Roman" w:eastAsia="Times New Roman" w:hAnsi="Times New Roman"/>
                <w:sz w:val="24"/>
                <w:szCs w:val="24"/>
              </w:rPr>
              <w:t>sakubitrylem</w:t>
            </w:r>
            <w:proofErr w:type="spellEnd"/>
            <w:r w:rsidRPr="00335A3E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335A3E">
              <w:rPr>
                <w:rFonts w:ascii="Times New Roman" w:eastAsia="Times New Roman" w:hAnsi="Times New Roman"/>
                <w:sz w:val="24"/>
                <w:szCs w:val="24"/>
              </w:rPr>
              <w:t>walsartanem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6E1944" w:rsidRPr="005771DD" w:rsidRDefault="006E1944" w:rsidP="006E1944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369" w:hanging="36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771DD">
              <w:rPr>
                <w:rFonts w:ascii="Times New Roman" w:eastAsia="Times New Roman" w:hAnsi="Times New Roman"/>
                <w:sz w:val="24"/>
                <w:szCs w:val="24"/>
              </w:rPr>
              <w:t xml:space="preserve">Szacowany </w:t>
            </w:r>
            <w:proofErr w:type="spellStart"/>
            <w:r w:rsidRPr="005771DD">
              <w:rPr>
                <w:rFonts w:ascii="Times New Roman" w:eastAsia="Times New Roman" w:hAnsi="Times New Roman"/>
                <w:sz w:val="24"/>
                <w:szCs w:val="24"/>
              </w:rPr>
              <w:t>klirens</w:t>
            </w:r>
            <w:proofErr w:type="spellEnd"/>
            <w:r w:rsidRPr="005771DD">
              <w:rPr>
                <w:rFonts w:ascii="Times New Roman" w:eastAsia="Times New Roman" w:hAnsi="Times New Roman"/>
                <w:sz w:val="24"/>
                <w:szCs w:val="24"/>
              </w:rPr>
              <w:t xml:space="preserve"> kreatyniny &lt;30 ml/min/1,73m</w:t>
            </w:r>
            <w:r w:rsidRPr="00667766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2</w:t>
            </w:r>
            <w:r w:rsidRPr="005771DD">
              <w:rPr>
                <w:rFonts w:ascii="Times New Roman" w:eastAsia="Times New Roman" w:hAnsi="Times New Roman"/>
                <w:sz w:val="24"/>
                <w:szCs w:val="24"/>
              </w:rPr>
              <w:t xml:space="preserve"> podczas wizyty przesiewowej.</w:t>
            </w:r>
          </w:p>
          <w:p w:rsidR="006E1944" w:rsidRPr="00335A3E" w:rsidRDefault="006E1944" w:rsidP="006E1944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369" w:hanging="36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35A3E">
              <w:rPr>
                <w:rFonts w:ascii="Times New Roman" w:eastAsia="Times New Roman" w:hAnsi="Times New Roman"/>
                <w:sz w:val="24"/>
                <w:szCs w:val="24"/>
              </w:rPr>
              <w:t xml:space="preserve">Potas w surowicy &gt;5,2 </w:t>
            </w:r>
            <w:proofErr w:type="spellStart"/>
            <w:r w:rsidRPr="00335A3E">
              <w:rPr>
                <w:rFonts w:ascii="Times New Roman" w:eastAsia="Times New Roman" w:hAnsi="Times New Roman"/>
                <w:sz w:val="24"/>
                <w:szCs w:val="24"/>
              </w:rPr>
              <w:t>mmol</w:t>
            </w:r>
            <w:proofErr w:type="spellEnd"/>
            <w:r w:rsidRPr="00335A3E">
              <w:rPr>
                <w:rFonts w:ascii="Times New Roman" w:eastAsia="Times New Roman" w:hAnsi="Times New Roman"/>
                <w:sz w:val="24"/>
                <w:szCs w:val="24"/>
              </w:rPr>
              <w:t>/L podczas wizyty przesiewowej.</w:t>
            </w:r>
          </w:p>
          <w:p w:rsidR="006E1944" w:rsidRPr="00335A3E" w:rsidRDefault="006E1944" w:rsidP="006E1944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369" w:hanging="36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35A3E">
              <w:rPr>
                <w:rFonts w:ascii="Times New Roman" w:eastAsia="Times New Roman" w:hAnsi="Times New Roman"/>
                <w:sz w:val="24"/>
                <w:szCs w:val="24"/>
              </w:rPr>
              <w:t xml:space="preserve">Ostry zespół wieńcowy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lub planowa rewaskularyzacja </w:t>
            </w:r>
            <w:r w:rsidRPr="00335A3E">
              <w:rPr>
                <w:rFonts w:ascii="Times New Roman" w:eastAsia="Times New Roman" w:hAnsi="Times New Roman"/>
                <w:sz w:val="24"/>
                <w:szCs w:val="24"/>
              </w:rPr>
              <w:t>przebyt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 w:rsidRPr="00335A3E">
              <w:rPr>
                <w:rFonts w:ascii="Times New Roman" w:eastAsia="Times New Roman" w:hAnsi="Times New Roman"/>
                <w:sz w:val="24"/>
                <w:szCs w:val="24"/>
              </w:rPr>
              <w:t xml:space="preserve"> w ciągu 6 tygodni przed wizytą przesiewową.</w:t>
            </w:r>
          </w:p>
          <w:p w:rsidR="006E1944" w:rsidRPr="00335A3E" w:rsidRDefault="006E1944" w:rsidP="006E1944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369" w:hanging="36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35A3E">
              <w:rPr>
                <w:rFonts w:ascii="Times New Roman" w:eastAsia="Times New Roman" w:hAnsi="Times New Roman"/>
                <w:sz w:val="24"/>
                <w:szCs w:val="24"/>
              </w:rPr>
              <w:t>Udar mózgu, przemijający atak niedokrwienny, angioplastyka tętnic szyjnych, operacja serca lub inne poważne operacje sercowo-naczyniowe w ciągu 3 miesięcy przed wizytą przesiewową.</w:t>
            </w:r>
          </w:p>
          <w:p w:rsidR="006E1944" w:rsidRDefault="006E1944" w:rsidP="006E1944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369" w:hanging="36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35A3E">
              <w:rPr>
                <w:rFonts w:ascii="Times New Roman" w:eastAsia="Times New Roman" w:hAnsi="Times New Roman"/>
                <w:sz w:val="24"/>
                <w:szCs w:val="24"/>
              </w:rPr>
              <w:t>Wszczepienie kardiowertera defibrylatora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kardiostymulatora</w:t>
            </w:r>
            <w:r w:rsidRPr="00335A3E">
              <w:rPr>
                <w:rFonts w:ascii="Times New Roman" w:eastAsia="Times New Roman" w:hAnsi="Times New Roman"/>
                <w:sz w:val="24"/>
                <w:szCs w:val="24"/>
              </w:rPr>
              <w:t xml:space="preserve"> lub urządzenia do terapii </w:t>
            </w:r>
            <w:proofErr w:type="spellStart"/>
            <w:r w:rsidRPr="00335A3E">
              <w:rPr>
                <w:rFonts w:ascii="Times New Roman" w:eastAsia="Times New Roman" w:hAnsi="Times New Roman"/>
                <w:sz w:val="24"/>
                <w:szCs w:val="24"/>
              </w:rPr>
              <w:t>resynchronizującej</w:t>
            </w:r>
            <w:proofErr w:type="spellEnd"/>
            <w:r w:rsidRPr="00335A3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niekompatybilnych</w:t>
            </w:r>
            <w:r w:rsidRPr="00335A3E">
              <w:rPr>
                <w:rFonts w:ascii="Times New Roman" w:eastAsia="Times New Roman" w:hAnsi="Times New Roman"/>
                <w:sz w:val="24"/>
                <w:szCs w:val="24"/>
              </w:rPr>
              <w:t xml:space="preserve"> z MRI.</w:t>
            </w:r>
          </w:p>
          <w:p w:rsidR="006E1944" w:rsidRPr="00667766" w:rsidRDefault="006E1944" w:rsidP="006E1944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369" w:hanging="36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Utrwalone migotanie przedsionków.</w:t>
            </w:r>
          </w:p>
        </w:tc>
      </w:tr>
      <w:tr w:rsidR="006E1944" w:rsidRPr="00340D99" w:rsidTr="004F7BC6">
        <w:tc>
          <w:tcPr>
            <w:tcW w:w="1509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E1944" w:rsidRPr="00340D99" w:rsidRDefault="006E1944" w:rsidP="004F7BC6">
            <w:pPr>
              <w:tabs>
                <w:tab w:val="left" w:pos="0"/>
              </w:tabs>
              <w:spacing w:after="0" w:line="10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</w:rPr>
              <w:lastRenderedPageBreak/>
              <w:t>O</w:t>
            </w:r>
            <w:r w:rsidRPr="00340D99">
              <w:rPr>
                <w:rFonts w:ascii="Times New Roman" w:eastAsia="Times New Roman" w:hAnsi="Times New Roman"/>
                <w:b/>
                <w:bCs/>
                <w:sz w:val="24"/>
              </w:rPr>
              <w:t>środk</w:t>
            </w:r>
            <w:r>
              <w:rPr>
                <w:rFonts w:ascii="Times New Roman" w:eastAsia="Times New Roman" w:hAnsi="Times New Roman"/>
                <w:b/>
                <w:bCs/>
                <w:sz w:val="24"/>
              </w:rPr>
              <w:t>i w badaniu</w:t>
            </w:r>
          </w:p>
        </w:tc>
        <w:tc>
          <w:tcPr>
            <w:tcW w:w="7895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E1944" w:rsidRPr="005771DD" w:rsidRDefault="006E1944" w:rsidP="006E1944">
            <w:pPr>
              <w:tabs>
                <w:tab w:val="left" w:pos="0"/>
              </w:tabs>
              <w:spacing w:after="0" w:line="100" w:lineRule="atLeast"/>
              <w:jc w:val="both"/>
              <w:rPr>
                <w:sz w:val="24"/>
              </w:rPr>
            </w:pPr>
            <w:r w:rsidRPr="005771DD">
              <w:rPr>
                <w:rFonts w:ascii="Times New Roman" w:eastAsia="Times New Roman" w:hAnsi="Times New Roman"/>
                <w:sz w:val="24"/>
              </w:rPr>
              <w:t>W badaniu będą uczestniczyć doświadczone polskie ośrodki zajmujące się leczeniem pacjentów z niewydolnością serca. Wyjściowo</w:t>
            </w:r>
            <w:r>
              <w:rPr>
                <w:rFonts w:ascii="Times New Roman" w:eastAsia="Times New Roman" w:hAnsi="Times New Roman"/>
                <w:sz w:val="24"/>
              </w:rPr>
              <w:t xml:space="preserve"> w rekrutacji</w:t>
            </w:r>
            <w:r>
              <w:rPr>
                <w:rFonts w:ascii="Times New Roman" w:eastAsia="Times New Roman" w:hAnsi="Times New Roman"/>
                <w:sz w:val="24"/>
              </w:rPr>
              <w:br/>
            </w:r>
            <w:r w:rsidRPr="005771DD">
              <w:rPr>
                <w:rFonts w:ascii="Times New Roman" w:eastAsia="Times New Roman" w:hAnsi="Times New Roman"/>
                <w:sz w:val="24"/>
              </w:rPr>
              <w:t xml:space="preserve">w badaniu mają uczestniczyć </w:t>
            </w:r>
            <w:r>
              <w:rPr>
                <w:rFonts w:ascii="Times New Roman" w:eastAsia="Times New Roman" w:hAnsi="Times New Roman"/>
                <w:sz w:val="24"/>
              </w:rPr>
              <w:t>3</w:t>
            </w:r>
            <w:bookmarkStart w:id="0" w:name="_GoBack"/>
            <w:bookmarkEnd w:id="0"/>
            <w:r w:rsidRPr="005771DD">
              <w:rPr>
                <w:rFonts w:ascii="Times New Roman" w:eastAsia="Times New Roman" w:hAnsi="Times New Roman"/>
                <w:sz w:val="24"/>
              </w:rPr>
              <w:t xml:space="preserve"> polskie ośrodki. Ośrodek w Lund w Szwecji ma pełnić funkcję doradczą i konsultacyjną. Liczba ośrodków w trakcie badania może zostać zwiększona.</w:t>
            </w:r>
          </w:p>
        </w:tc>
      </w:tr>
      <w:tr w:rsidR="006E1944" w:rsidRPr="00340D99" w:rsidTr="004F7B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E1944" w:rsidRPr="00340D99" w:rsidRDefault="006E1944" w:rsidP="004F7BC6">
            <w:pPr>
              <w:tabs>
                <w:tab w:val="left" w:pos="0"/>
              </w:tabs>
              <w:spacing w:after="0" w:line="10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</w:rPr>
              <w:t>Badana interwencja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E1944" w:rsidRPr="005771DD" w:rsidRDefault="006E1944" w:rsidP="004F7BC6">
            <w:pPr>
              <w:tabs>
                <w:tab w:val="left" w:pos="0"/>
              </w:tabs>
              <w:spacing w:after="0" w:line="100" w:lineRule="atLeast"/>
              <w:jc w:val="both"/>
              <w:rPr>
                <w:sz w:val="24"/>
              </w:rPr>
            </w:pPr>
            <w:r w:rsidRPr="005771DD">
              <w:rPr>
                <w:rFonts w:ascii="Times New Roman" w:eastAsia="Times New Roman" w:hAnsi="Times New Roman"/>
                <w:sz w:val="24"/>
              </w:rPr>
              <w:t xml:space="preserve">12-miesięczne losowo przydzielone leczenie albo </w:t>
            </w:r>
            <w:proofErr w:type="spellStart"/>
            <w:r w:rsidRPr="005771DD">
              <w:rPr>
                <w:rFonts w:ascii="Times New Roman" w:eastAsia="Times New Roman" w:hAnsi="Times New Roman"/>
                <w:sz w:val="24"/>
              </w:rPr>
              <w:t>ramiprylem</w:t>
            </w:r>
            <w:proofErr w:type="spellEnd"/>
            <w:r w:rsidRPr="005771DD">
              <w:rPr>
                <w:rFonts w:ascii="Times New Roman" w:eastAsia="Times New Roman" w:hAnsi="Times New Roman"/>
                <w:sz w:val="24"/>
              </w:rPr>
              <w:t xml:space="preserve"> w dawce 5 mg dwa razy na dobę albo </w:t>
            </w:r>
            <w:proofErr w:type="spellStart"/>
            <w:r w:rsidRPr="005771DD">
              <w:rPr>
                <w:rFonts w:ascii="Times New Roman" w:eastAsia="Times New Roman" w:hAnsi="Times New Roman"/>
                <w:sz w:val="24"/>
              </w:rPr>
              <w:t>sakubitryl</w:t>
            </w:r>
            <w:proofErr w:type="spellEnd"/>
            <w:r w:rsidRPr="005771DD">
              <w:rPr>
                <w:rFonts w:ascii="Times New Roman" w:eastAsia="Times New Roman" w:hAnsi="Times New Roman"/>
                <w:sz w:val="24"/>
              </w:rPr>
              <w:t>/</w:t>
            </w:r>
            <w:proofErr w:type="spellStart"/>
            <w:r w:rsidRPr="005771DD">
              <w:rPr>
                <w:rFonts w:ascii="Times New Roman" w:eastAsia="Times New Roman" w:hAnsi="Times New Roman"/>
                <w:sz w:val="24"/>
              </w:rPr>
              <w:t>walsartan</w:t>
            </w:r>
            <w:proofErr w:type="spellEnd"/>
            <w:r w:rsidRPr="005771DD">
              <w:rPr>
                <w:rFonts w:ascii="Times New Roman" w:eastAsia="Times New Roman" w:hAnsi="Times New Roman"/>
                <w:sz w:val="24"/>
              </w:rPr>
              <w:t xml:space="preserve"> w dawce 200 mg dwa razy na dobę.</w:t>
            </w:r>
          </w:p>
        </w:tc>
      </w:tr>
      <w:tr w:rsidR="006E1944" w:rsidRPr="00340D99" w:rsidTr="004F7B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E1944" w:rsidRPr="00340D99" w:rsidRDefault="006E1944" w:rsidP="004F7BC6">
            <w:pPr>
              <w:tabs>
                <w:tab w:val="left" w:pos="0"/>
              </w:tabs>
              <w:spacing w:after="0" w:line="100" w:lineRule="atLeast"/>
              <w:rPr>
                <w:rFonts w:ascii="Times New Roman" w:eastAsia="Times New Roman" w:hAnsi="Times New Roman"/>
                <w:sz w:val="24"/>
                <w:shd w:val="clear" w:color="auto" w:fill="FFFF00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</w:rPr>
              <w:t>Czas trwania badania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E1944" w:rsidRPr="005771DD" w:rsidRDefault="006E1944" w:rsidP="004F7BC6">
            <w:pPr>
              <w:tabs>
                <w:tab w:val="left" w:pos="0"/>
              </w:tabs>
              <w:spacing w:after="0" w:line="100" w:lineRule="atLeast"/>
              <w:rPr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60 miesięcy</w:t>
            </w:r>
          </w:p>
        </w:tc>
      </w:tr>
      <w:tr w:rsidR="006E1944" w:rsidRPr="00340D99" w:rsidTr="004F7B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E1944" w:rsidRPr="00340D99" w:rsidRDefault="006E1944" w:rsidP="004F7BC6">
            <w:pPr>
              <w:tabs>
                <w:tab w:val="left" w:pos="0"/>
              </w:tabs>
              <w:spacing w:after="0" w:line="10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</w:rPr>
              <w:t>Czas udziału pacjenta w badaniu</w:t>
            </w:r>
          </w:p>
        </w:tc>
        <w:tc>
          <w:tcPr>
            <w:tcW w:w="7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E1944" w:rsidRPr="00340D99" w:rsidRDefault="006E1944" w:rsidP="004F7BC6">
            <w:pPr>
              <w:tabs>
                <w:tab w:val="left" w:pos="0"/>
              </w:tabs>
              <w:spacing w:after="0" w:line="100" w:lineRule="atLeast"/>
              <w:rPr>
                <w:sz w:val="24"/>
              </w:rPr>
            </w:pPr>
            <w:r w:rsidRPr="00340D99">
              <w:rPr>
                <w:rFonts w:ascii="Times New Roman" w:eastAsia="Times New Roman" w:hAnsi="Times New Roman"/>
                <w:sz w:val="24"/>
              </w:rPr>
              <w:t>15 miesięcy</w:t>
            </w:r>
          </w:p>
        </w:tc>
      </w:tr>
    </w:tbl>
    <w:p w:rsidR="006E1944" w:rsidRDefault="006E1944"/>
    <w:sectPr w:rsidR="006E19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  <w:szCs w:val="24"/>
        <w:lang w:val="pl-P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7"/>
    <w:multiLevelType w:val="multi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1B75F9E"/>
    <w:multiLevelType w:val="multilevel"/>
    <w:tmpl w:val="1666C86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944"/>
    <w:rsid w:val="006E1944"/>
    <w:rsid w:val="00A95211"/>
    <w:rsid w:val="00BE3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DFDCB6-2B64-4442-91FB-D2849505A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Tekstpodstawowy"/>
    <w:link w:val="PodtytuZnak"/>
    <w:qFormat/>
    <w:rsid w:val="006E1944"/>
    <w:pPr>
      <w:suppressAutoHyphens/>
      <w:spacing w:before="200" w:after="1000" w:line="100" w:lineRule="atLeast"/>
    </w:pPr>
    <w:rPr>
      <w:rFonts w:ascii="Calibri" w:eastAsia="Calibri" w:hAnsi="Calibri" w:cs="Times New Roman"/>
      <w:i/>
      <w:iCs/>
      <w:caps/>
      <w:color w:val="595959"/>
      <w:spacing w:val="10"/>
      <w:sz w:val="24"/>
      <w:szCs w:val="24"/>
      <w:lang w:val="en-US" w:eastAsia="ar-SA"/>
    </w:rPr>
  </w:style>
  <w:style w:type="character" w:customStyle="1" w:styleId="PodtytuZnak">
    <w:name w:val="Podtytuł Znak"/>
    <w:basedOn w:val="Domylnaczcionkaakapitu"/>
    <w:link w:val="Podtytu"/>
    <w:rsid w:val="006E1944"/>
    <w:rPr>
      <w:rFonts w:ascii="Calibri" w:eastAsia="Calibri" w:hAnsi="Calibri" w:cs="Times New Roman"/>
      <w:i/>
      <w:iCs/>
      <w:caps/>
      <w:color w:val="595959"/>
      <w:spacing w:val="10"/>
      <w:sz w:val="24"/>
      <w:szCs w:val="24"/>
      <w:lang w:val="en-US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E19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E1944"/>
  </w:style>
  <w:style w:type="paragraph" w:customStyle="1" w:styleId="Synopsis">
    <w:name w:val="Synopsis"/>
    <w:basedOn w:val="Normalny"/>
    <w:rsid w:val="006E1944"/>
    <w:pPr>
      <w:suppressAutoHyphens/>
      <w:spacing w:before="120" w:after="0" w:line="100" w:lineRule="atLeast"/>
      <w:jc w:val="both"/>
    </w:pPr>
    <w:rPr>
      <w:rFonts w:ascii="Arial" w:eastAsia="Times New Roman" w:hAnsi="Arial" w:cs="Arial"/>
      <w:sz w:val="20"/>
      <w:szCs w:val="20"/>
      <w:lang w:val="en-US" w:eastAsia="ar-SA"/>
    </w:rPr>
  </w:style>
  <w:style w:type="paragraph" w:customStyle="1" w:styleId="ListParagraph">
    <w:name w:val="List Paragraph"/>
    <w:basedOn w:val="Normalny"/>
    <w:rsid w:val="006E1944"/>
    <w:pPr>
      <w:suppressAutoHyphens/>
      <w:spacing w:after="200" w:line="276" w:lineRule="auto"/>
      <w:ind w:left="720"/>
    </w:pPr>
    <w:rPr>
      <w:rFonts w:ascii="Calibri" w:eastAsia="Calibri" w:hAnsi="Calibri" w:cs="Times New Roman"/>
      <w:lang w:val="en-US" w:eastAsia="ar-SA"/>
    </w:rPr>
  </w:style>
  <w:style w:type="paragraph" w:customStyle="1" w:styleId="Default">
    <w:name w:val="Default"/>
    <w:rsid w:val="006E1944"/>
    <w:pPr>
      <w:suppressAutoHyphens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1286</Words>
  <Characters>7716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Manterys</dc:creator>
  <cp:keywords/>
  <dc:description/>
  <cp:lastModifiedBy>Angelika Manterys</cp:lastModifiedBy>
  <cp:revision>1</cp:revision>
  <dcterms:created xsi:type="dcterms:W3CDTF">2021-06-02T09:34:00Z</dcterms:created>
  <dcterms:modified xsi:type="dcterms:W3CDTF">2021-06-02T09:36:00Z</dcterms:modified>
</cp:coreProperties>
</file>