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C6C56" w14:textId="77777777" w:rsidR="00FC5952" w:rsidRPr="00B95994" w:rsidRDefault="00FC5952" w:rsidP="00FC5952">
      <w:pPr>
        <w:jc w:val="center"/>
        <w:rPr>
          <w:b/>
        </w:rPr>
      </w:pPr>
      <w:r w:rsidRPr="00B95994">
        <w:rPr>
          <w:b/>
        </w:rPr>
        <w:t>Specyfikacja drukarki z wymiennymi głowicami do nanoszenia masek na podłożu</w:t>
      </w:r>
    </w:p>
    <w:p w14:paraId="62C4D2DE" w14:textId="77777777" w:rsidR="00FC5952" w:rsidRDefault="00FC5952" w:rsidP="00FC5952"/>
    <w:p w14:paraId="33DA6E42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Drukarka musi być urządzeniem nastołowym o wymiarach nie większych niż 80x8</w:t>
      </w:r>
      <w:r>
        <w:rPr>
          <w:rFonts w:cstheme="minorHAnsi"/>
          <w:color w:val="000000" w:themeColor="text1"/>
        </w:rPr>
        <w:t>0</w:t>
      </w:r>
      <w:r w:rsidRPr="00F43218">
        <w:rPr>
          <w:rFonts w:cstheme="minorHAnsi"/>
          <w:color w:val="000000" w:themeColor="text1"/>
        </w:rPr>
        <w:t>x50 cm (szer. x dł. x wys.) ze względu na ograniczone miejsce w laboratorium i wadze nie większej niż 100</w:t>
      </w:r>
      <w:r>
        <w:rPr>
          <w:rFonts w:cstheme="minorHAnsi"/>
          <w:color w:val="000000" w:themeColor="text1"/>
        </w:rPr>
        <w:t xml:space="preserve"> </w:t>
      </w:r>
      <w:r w:rsidRPr="00F43218">
        <w:rPr>
          <w:rFonts w:cstheme="minorHAnsi"/>
          <w:color w:val="000000" w:themeColor="text1"/>
        </w:rPr>
        <w:t>kg</w:t>
      </w:r>
      <w:r>
        <w:rPr>
          <w:rFonts w:cstheme="minorHAnsi"/>
          <w:color w:val="000000" w:themeColor="text1"/>
        </w:rPr>
        <w:t>.</w:t>
      </w:r>
    </w:p>
    <w:p w14:paraId="5DC4AB1F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 xml:space="preserve">System musi umożliwiać drukowanie materiałów na podłożach o wymiarach </w:t>
      </w:r>
      <w:r>
        <w:rPr>
          <w:rFonts w:cstheme="minorHAnsi"/>
          <w:color w:val="000000" w:themeColor="text1"/>
        </w:rPr>
        <w:t>nie mniejszych niż</w:t>
      </w:r>
      <w:r w:rsidRPr="00F43218">
        <w:rPr>
          <w:rFonts w:cstheme="minorHAnsi"/>
          <w:color w:val="000000" w:themeColor="text1"/>
        </w:rPr>
        <w:t xml:space="preserve"> 210 x 297 mm (format A4)</w:t>
      </w:r>
      <w:r>
        <w:rPr>
          <w:rFonts w:cstheme="minorHAnsi"/>
          <w:color w:val="000000" w:themeColor="text1"/>
        </w:rPr>
        <w:t>.</w:t>
      </w:r>
    </w:p>
    <w:p w14:paraId="5CE5B999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Podłoże musi być mocowane w urządzeniu za pomocą próżni</w:t>
      </w:r>
      <w:r>
        <w:rPr>
          <w:rFonts w:cstheme="minorHAnsi"/>
          <w:color w:val="000000" w:themeColor="text1"/>
        </w:rPr>
        <w:t>.</w:t>
      </w:r>
    </w:p>
    <w:p w14:paraId="740E0DA7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 xml:space="preserve">System musi umożliwiać podgrzewanie podłoży co najmniej do </w:t>
      </w:r>
      <w:r>
        <w:rPr>
          <w:rFonts w:cstheme="minorHAnsi"/>
          <w:color w:val="000000" w:themeColor="text1"/>
        </w:rPr>
        <w:t>6</w:t>
      </w:r>
      <w:r w:rsidRPr="00F43218">
        <w:rPr>
          <w:rFonts w:cstheme="minorHAnsi"/>
          <w:color w:val="000000" w:themeColor="text1"/>
        </w:rPr>
        <w:t>0°C</w:t>
      </w:r>
    </w:p>
    <w:p w14:paraId="5A2EAF29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Pr="00F43218">
        <w:rPr>
          <w:rFonts w:cstheme="minorHAnsi"/>
          <w:color w:val="000000" w:themeColor="text1"/>
        </w:rPr>
        <w:t xml:space="preserve"> celu automatycznego wyrównania</w:t>
      </w:r>
      <w:r>
        <w:rPr>
          <w:rFonts w:cstheme="minorHAnsi"/>
          <w:color w:val="000000" w:themeColor="text1"/>
        </w:rPr>
        <w:t>,</w:t>
      </w:r>
      <w:r w:rsidRPr="00F4321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s</w:t>
      </w:r>
      <w:r w:rsidRPr="00F43218">
        <w:rPr>
          <w:rFonts w:cstheme="minorHAnsi"/>
          <w:color w:val="000000" w:themeColor="text1"/>
        </w:rPr>
        <w:t xml:space="preserve">ystem musi pozwalać na obrót </w:t>
      </w:r>
      <w:r>
        <w:rPr>
          <w:rFonts w:cstheme="minorHAnsi"/>
          <w:color w:val="000000" w:themeColor="text1"/>
        </w:rPr>
        <w:t xml:space="preserve">i przesuwanie </w:t>
      </w:r>
      <w:r w:rsidRPr="00F43218">
        <w:rPr>
          <w:rFonts w:cstheme="minorHAnsi"/>
          <w:color w:val="000000" w:themeColor="text1"/>
        </w:rPr>
        <w:t xml:space="preserve">podłoża </w:t>
      </w:r>
      <w:r>
        <w:rPr>
          <w:rFonts w:cstheme="minorHAnsi"/>
          <w:color w:val="000000" w:themeColor="text1"/>
        </w:rPr>
        <w:t>względem</w:t>
      </w:r>
      <w:r w:rsidRPr="00F43218">
        <w:rPr>
          <w:rFonts w:cstheme="minorHAnsi"/>
          <w:color w:val="000000" w:themeColor="text1"/>
        </w:rPr>
        <w:t xml:space="preserve"> głowicy drukującej.</w:t>
      </w:r>
    </w:p>
    <w:p w14:paraId="4C029C86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Drukarka musi być wyposażona w kamery do wizualizacji zarówno kropli, jak i wydrukowanego wzoru</w:t>
      </w:r>
      <w:r>
        <w:rPr>
          <w:rFonts w:cstheme="minorHAnsi"/>
          <w:color w:val="000000" w:themeColor="text1"/>
        </w:rPr>
        <w:t>.</w:t>
      </w:r>
    </w:p>
    <w:p w14:paraId="1B3B9859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System musi umożliwiać oparte na wizji automatyczne wyrównanie podłoża do dowolnego widocznego kształtu znacznika, krawędzi podłoża, nacięcia lub narożnika</w:t>
      </w:r>
      <w:r>
        <w:rPr>
          <w:rFonts w:cstheme="minorHAnsi"/>
          <w:color w:val="000000" w:themeColor="text1"/>
        </w:rPr>
        <w:t>.</w:t>
      </w:r>
    </w:p>
    <w:p w14:paraId="585055BD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Błąd pozycjonowania</w:t>
      </w:r>
      <w:r w:rsidRPr="00F43218">
        <w:rPr>
          <w:rFonts w:cstheme="minorHAnsi"/>
          <w:color w:val="000000" w:themeColor="text1"/>
        </w:rPr>
        <w:t xml:space="preserve"> stolika nie </w:t>
      </w:r>
      <w:r>
        <w:rPr>
          <w:rFonts w:cstheme="minorHAnsi"/>
          <w:color w:val="000000" w:themeColor="text1"/>
        </w:rPr>
        <w:t>większa</w:t>
      </w:r>
      <w:r w:rsidRPr="00F43218">
        <w:rPr>
          <w:rFonts w:cstheme="minorHAnsi"/>
          <w:color w:val="000000" w:themeColor="text1"/>
        </w:rPr>
        <w:t xml:space="preserve"> niż ±20um</w:t>
      </w:r>
    </w:p>
    <w:p w14:paraId="1CF61179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Niep</w:t>
      </w:r>
      <w:r w:rsidRPr="00F43218">
        <w:rPr>
          <w:rFonts w:cstheme="minorHAnsi"/>
          <w:color w:val="000000" w:themeColor="text1"/>
        </w:rPr>
        <w:t xml:space="preserve">owtarzalność przesuwu stolika nie </w:t>
      </w:r>
      <w:r>
        <w:rPr>
          <w:rFonts w:cstheme="minorHAnsi"/>
          <w:color w:val="000000" w:themeColor="text1"/>
        </w:rPr>
        <w:t>większa</w:t>
      </w:r>
      <w:r w:rsidRPr="00F43218">
        <w:rPr>
          <w:rFonts w:cstheme="minorHAnsi"/>
          <w:color w:val="000000" w:themeColor="text1"/>
        </w:rPr>
        <w:t xml:space="preserve"> niż ±10um</w:t>
      </w:r>
      <w:r>
        <w:rPr>
          <w:rFonts w:cstheme="minorHAnsi"/>
          <w:color w:val="000000" w:themeColor="text1"/>
        </w:rPr>
        <w:t>.</w:t>
      </w:r>
    </w:p>
    <w:p w14:paraId="27091252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System musi być wyposażony w głowicę drukującą (zainstalowaną w specjalnej obudowie drukującej) umożliwiającą drukowanie materiałów wymagających utwardzania UV – źródło UV LED wbudowane w obudowę głowicy drukującej</w:t>
      </w:r>
      <w:r>
        <w:rPr>
          <w:rFonts w:cstheme="minorHAnsi"/>
          <w:color w:val="000000" w:themeColor="text1"/>
        </w:rPr>
        <w:t>.</w:t>
      </w:r>
    </w:p>
    <w:p w14:paraId="22109295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System musi być dostarczony z obudową chroniącą przed promieniowaniem UV, aby zapewnić bezpieczną pracę w laboratorium</w:t>
      </w:r>
      <w:r>
        <w:rPr>
          <w:rFonts w:cstheme="minorHAnsi"/>
          <w:color w:val="000000" w:themeColor="text1"/>
        </w:rPr>
        <w:t>.</w:t>
      </w:r>
    </w:p>
    <w:p w14:paraId="70D419D8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Drukarka musi umożliwiać automatyczną konserwację głowicy drukującej, w tym:</w:t>
      </w:r>
    </w:p>
    <w:p w14:paraId="13F06AC2" w14:textId="77777777" w:rsidR="00FC5952" w:rsidRPr="00F43218" w:rsidRDefault="00FC5952" w:rsidP="00FC5952">
      <w:pPr>
        <w:pStyle w:val="Akapitzlist"/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a.</w:t>
      </w:r>
      <w:r>
        <w:rPr>
          <w:rFonts w:cstheme="minorHAnsi"/>
          <w:color w:val="000000" w:themeColor="text1"/>
        </w:rPr>
        <w:t xml:space="preserve"> s</w:t>
      </w:r>
      <w:r w:rsidRPr="00F43218">
        <w:rPr>
          <w:rFonts w:cstheme="minorHAnsi"/>
          <w:color w:val="000000" w:themeColor="text1"/>
        </w:rPr>
        <w:t>tacja czyszcząca do czyszczenia płytki dyszy</w:t>
      </w:r>
      <w:r>
        <w:rPr>
          <w:rFonts w:cstheme="minorHAnsi"/>
          <w:color w:val="000000" w:themeColor="text1"/>
        </w:rPr>
        <w:t>,</w:t>
      </w:r>
    </w:p>
    <w:p w14:paraId="093C4E8D" w14:textId="77777777" w:rsidR="00FC5952" w:rsidRPr="00F43218" w:rsidRDefault="00FC5952" w:rsidP="00FC5952">
      <w:pPr>
        <w:pStyle w:val="Akapitzlist"/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 xml:space="preserve">b. </w:t>
      </w:r>
      <w:r>
        <w:rPr>
          <w:rFonts w:cstheme="minorHAnsi"/>
          <w:color w:val="000000" w:themeColor="text1"/>
        </w:rPr>
        <w:t>s</w:t>
      </w:r>
      <w:r w:rsidRPr="00F43218">
        <w:rPr>
          <w:rFonts w:cstheme="minorHAnsi"/>
          <w:color w:val="000000" w:themeColor="text1"/>
        </w:rPr>
        <w:t>tacja zakrywająca do przechowywania głowicy drukującej w czystym środowisku</w:t>
      </w:r>
      <w:r>
        <w:rPr>
          <w:rFonts w:cstheme="minorHAnsi"/>
          <w:color w:val="000000" w:themeColor="text1"/>
        </w:rPr>
        <w:t>,</w:t>
      </w:r>
    </w:p>
    <w:p w14:paraId="699E21EE" w14:textId="77777777" w:rsidR="00FC5952" w:rsidRPr="00F43218" w:rsidRDefault="00FC5952" w:rsidP="00FC5952">
      <w:pPr>
        <w:pStyle w:val="Akapitzlist"/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 xml:space="preserve">c. </w:t>
      </w:r>
      <w:r>
        <w:rPr>
          <w:rFonts w:cstheme="minorHAnsi"/>
          <w:color w:val="000000" w:themeColor="text1"/>
        </w:rPr>
        <w:t>o</w:t>
      </w:r>
      <w:r w:rsidRPr="00F43218">
        <w:rPr>
          <w:rFonts w:cstheme="minorHAnsi"/>
          <w:color w:val="000000" w:themeColor="text1"/>
        </w:rPr>
        <w:t>czyszczanie i płukanie w celu przepłukania dysz</w:t>
      </w:r>
      <w:r>
        <w:rPr>
          <w:rFonts w:cstheme="minorHAnsi"/>
          <w:color w:val="000000" w:themeColor="text1"/>
        </w:rPr>
        <w:t>.</w:t>
      </w:r>
    </w:p>
    <w:p w14:paraId="728895D4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Konstrukcja musi umożliwiać szybką i łatwą wymianę uchwytów z różnymi głowicami drukującymi. Musi być w stanie korzystać z głowic drukujących od różnych dostawców komercyjnych</w:t>
      </w:r>
      <w:r>
        <w:rPr>
          <w:rFonts w:cstheme="minorHAnsi"/>
          <w:color w:val="000000" w:themeColor="text1"/>
        </w:rPr>
        <w:t>.</w:t>
      </w:r>
    </w:p>
    <w:p w14:paraId="7CE8D535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Parametry wydruku muszą zawierać co najmniej następujące ustawienia:</w:t>
      </w:r>
    </w:p>
    <w:p w14:paraId="0B484160" w14:textId="77777777" w:rsidR="00FC5952" w:rsidRPr="00F43218" w:rsidRDefault="00FC5952" w:rsidP="00FC5952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kształt, napięcie i długość impulsu dyszy</w:t>
      </w:r>
      <w:r>
        <w:rPr>
          <w:rFonts w:cstheme="minorHAnsi"/>
          <w:color w:val="000000" w:themeColor="text1"/>
        </w:rPr>
        <w:t>,</w:t>
      </w:r>
    </w:p>
    <w:p w14:paraId="6E00C1BC" w14:textId="77777777" w:rsidR="00FC5952" w:rsidRPr="00F43218" w:rsidRDefault="00FC5952" w:rsidP="00FC5952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temperatura atramentu i podłoża</w:t>
      </w:r>
      <w:r>
        <w:rPr>
          <w:rFonts w:cstheme="minorHAnsi"/>
          <w:color w:val="000000" w:themeColor="text1"/>
        </w:rPr>
        <w:t>,</w:t>
      </w:r>
    </w:p>
    <w:p w14:paraId="2E153C8A" w14:textId="77777777" w:rsidR="00FC5952" w:rsidRPr="00F43218" w:rsidRDefault="00FC5952" w:rsidP="00FC5952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rozdzielczość (dpi)</w:t>
      </w:r>
      <w:r>
        <w:rPr>
          <w:rFonts w:cstheme="minorHAnsi"/>
          <w:color w:val="000000" w:themeColor="text1"/>
        </w:rPr>
        <w:t>,</w:t>
      </w:r>
    </w:p>
    <w:p w14:paraId="7FC03BB1" w14:textId="77777777" w:rsidR="00FC5952" w:rsidRPr="00F43218" w:rsidRDefault="00FC5952" w:rsidP="00FC5952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kompensacja przesunięcia dyszy</w:t>
      </w:r>
      <w:r>
        <w:rPr>
          <w:rFonts w:cstheme="minorHAnsi"/>
          <w:color w:val="000000" w:themeColor="text1"/>
        </w:rPr>
        <w:t>,</w:t>
      </w:r>
    </w:p>
    <w:p w14:paraId="0CBEF309" w14:textId="77777777" w:rsidR="00FC5952" w:rsidRPr="00F43218" w:rsidRDefault="00FC5952" w:rsidP="00FC5952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ciśnienie menisku</w:t>
      </w:r>
      <w:r>
        <w:rPr>
          <w:rFonts w:cstheme="minorHAnsi"/>
          <w:color w:val="000000" w:themeColor="text1"/>
        </w:rPr>
        <w:t>,</w:t>
      </w:r>
    </w:p>
    <w:p w14:paraId="147E4BF5" w14:textId="77777777" w:rsidR="00FC5952" w:rsidRPr="00F43218" w:rsidRDefault="00FC5952" w:rsidP="00FC5952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częstotliwość strumienia</w:t>
      </w:r>
      <w:r>
        <w:rPr>
          <w:rFonts w:cstheme="minorHAnsi"/>
          <w:color w:val="000000" w:themeColor="text1"/>
        </w:rPr>
        <w:t>.</w:t>
      </w:r>
    </w:p>
    <w:p w14:paraId="4C34A582" w14:textId="77777777" w:rsidR="00FC5952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 xml:space="preserve">Drukarka musi być dostarczona z komputerem sterującym </w:t>
      </w:r>
      <w:r>
        <w:rPr>
          <w:rFonts w:cstheme="minorHAnsi"/>
          <w:color w:val="000000" w:themeColor="text1"/>
        </w:rPr>
        <w:t>o minimalnych parametrach:</w:t>
      </w:r>
    </w:p>
    <w:p w14:paraId="117E813F" w14:textId="77777777" w:rsidR="00FC5952" w:rsidRPr="00FE737D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bookmarkStart w:id="0" w:name="_GoBack"/>
      <w:bookmarkEnd w:id="0"/>
      <w:r w:rsidRPr="00FE737D">
        <w:rPr>
          <w:rFonts w:cstheme="minorHAnsi"/>
          <w:color w:val="000000" w:themeColor="text1"/>
        </w:rPr>
        <w:t xml:space="preserve">16 GB </w:t>
      </w:r>
      <w:r>
        <w:rPr>
          <w:rFonts w:cstheme="minorHAnsi"/>
          <w:color w:val="000000" w:themeColor="text1"/>
        </w:rPr>
        <w:t xml:space="preserve">pamięci </w:t>
      </w:r>
      <w:r w:rsidRPr="00FE737D">
        <w:rPr>
          <w:rFonts w:cstheme="minorHAnsi"/>
          <w:color w:val="000000" w:themeColor="text1"/>
        </w:rPr>
        <w:t>RAM</w:t>
      </w:r>
    </w:p>
    <w:p w14:paraId="3D310842" w14:textId="77777777" w:rsidR="00FC5952" w:rsidRPr="00FE737D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lastRenderedPageBreak/>
        <w:t>Dysk twardy 250 GB SSD</w:t>
      </w:r>
    </w:p>
    <w:p w14:paraId="1D169290" w14:textId="77777777" w:rsidR="00FC5952" w:rsidRPr="00FE737D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1 port Ethernet</w:t>
      </w:r>
    </w:p>
    <w:p w14:paraId="060155D7" w14:textId="77777777" w:rsidR="00FC5952" w:rsidRPr="00FE737D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4x USB 2.0</w:t>
      </w:r>
    </w:p>
    <w:p w14:paraId="7C46BD11" w14:textId="77777777" w:rsidR="00FC5952" w:rsidRPr="00FE737D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Klawiatura</w:t>
      </w:r>
    </w:p>
    <w:p w14:paraId="40D03C92" w14:textId="77777777" w:rsidR="00FC5952" w:rsidRPr="00FE737D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Mysz</w:t>
      </w:r>
    </w:p>
    <w:p w14:paraId="0FB08F93" w14:textId="77777777" w:rsidR="00FC5952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 xml:space="preserve">Monitor 19” </w:t>
      </w:r>
      <w:r>
        <w:rPr>
          <w:rFonts w:cstheme="minorHAnsi"/>
          <w:color w:val="000000" w:themeColor="text1"/>
        </w:rPr>
        <w:t xml:space="preserve">o rozdzielczości </w:t>
      </w:r>
      <w:r w:rsidRPr="00FE737D">
        <w:rPr>
          <w:rFonts w:cstheme="minorHAnsi"/>
          <w:color w:val="000000" w:themeColor="text1"/>
        </w:rPr>
        <w:t>1280x1024</w:t>
      </w:r>
      <w:r>
        <w:rPr>
          <w:rFonts w:cstheme="minorHAnsi"/>
          <w:color w:val="000000" w:themeColor="text1"/>
        </w:rPr>
        <w:t xml:space="preserve"> pikseli</w:t>
      </w:r>
    </w:p>
    <w:p w14:paraId="0380A86A" w14:textId="77777777" w:rsidR="00FC5952" w:rsidRDefault="00FC5952" w:rsidP="00FC595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System operacyjny</w:t>
      </w:r>
    </w:p>
    <w:p w14:paraId="79C98BD9" w14:textId="77777777" w:rsidR="00FC5952" w:rsidRPr="00FE737D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Oprogramowanie</w:t>
      </w:r>
      <w:r>
        <w:rPr>
          <w:rFonts w:cstheme="minorHAnsi"/>
          <w:color w:val="000000" w:themeColor="text1"/>
        </w:rPr>
        <w:t xml:space="preserve"> sterujące</w:t>
      </w:r>
      <w:r w:rsidRPr="00FE737D">
        <w:rPr>
          <w:rFonts w:cstheme="minorHAnsi"/>
          <w:color w:val="000000" w:themeColor="text1"/>
        </w:rPr>
        <w:t xml:space="preserve"> umożliwia wybór następujących parametrów druku:</w:t>
      </w:r>
    </w:p>
    <w:p w14:paraId="4406FD84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Kształt, napięcie i długość impulsu dyszy</w:t>
      </w:r>
    </w:p>
    <w:p w14:paraId="5B388A31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Temperatura atramentu i podłoża</w:t>
      </w:r>
    </w:p>
    <w:p w14:paraId="231A6074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Rozdzielczość (DPI)</w:t>
      </w:r>
    </w:p>
    <w:p w14:paraId="45F31623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Kompensacja przesunięcia dyszy</w:t>
      </w:r>
    </w:p>
    <w:p w14:paraId="19A507F2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Ciśnienie menisku</w:t>
      </w:r>
    </w:p>
    <w:p w14:paraId="6B2E9079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Częstotliwość strumienia</w:t>
      </w:r>
    </w:p>
    <w:p w14:paraId="74696FAF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Oprogramowanie umożliwia automatyczne wyrównanie podłoża</w:t>
      </w:r>
    </w:p>
    <w:p w14:paraId="0BEE84FD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Oprogramowanie umożliwia przeprowadzenie symulacji wydruku w celu weryfikacji ustawień i położenia przez użytkownika</w:t>
      </w:r>
    </w:p>
    <w:p w14:paraId="58708D7D" w14:textId="77777777" w:rsidR="00FC5952" w:rsidRPr="00FE737D" w:rsidRDefault="00FC5952" w:rsidP="00FC5952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FE737D">
        <w:rPr>
          <w:rFonts w:cstheme="minorHAnsi"/>
          <w:color w:val="000000" w:themeColor="text1"/>
        </w:rPr>
        <w:t>Oprogramowanie umożliwia utworzenie ekranu niestandardowego z treścią definiowaną przez użytkownika</w:t>
      </w:r>
    </w:p>
    <w:p w14:paraId="70F0DB5C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Gwarancja na pełny system minimum 12 miesięcy (z wyjątkiem części zużywalnych)</w:t>
      </w:r>
      <w:r>
        <w:rPr>
          <w:rFonts w:cstheme="minorHAnsi"/>
          <w:color w:val="000000" w:themeColor="text1"/>
        </w:rPr>
        <w:t>.</w:t>
      </w:r>
    </w:p>
    <w:p w14:paraId="631C484A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 xml:space="preserve">Reakcja </w:t>
      </w:r>
      <w:r>
        <w:rPr>
          <w:rFonts w:cstheme="minorHAnsi"/>
          <w:color w:val="000000" w:themeColor="text1"/>
        </w:rPr>
        <w:t>serwisu</w:t>
      </w:r>
      <w:r w:rsidRPr="00F43218">
        <w:rPr>
          <w:rFonts w:cstheme="minorHAnsi"/>
          <w:color w:val="000000" w:themeColor="text1"/>
        </w:rPr>
        <w:t xml:space="preserve"> na zgłoszenie problemu nie dłużej niż 48 godzin</w:t>
      </w:r>
      <w:r>
        <w:rPr>
          <w:rFonts w:cstheme="minorHAnsi"/>
          <w:color w:val="000000" w:themeColor="text1"/>
        </w:rPr>
        <w:t>.</w:t>
      </w:r>
    </w:p>
    <w:p w14:paraId="4F0E2010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Sprzedający zapewnia szkolenie z obsługi systemu i oprogramowania w miejscu instalacji drukarki</w:t>
      </w:r>
      <w:r>
        <w:rPr>
          <w:rFonts w:cstheme="minorHAnsi"/>
          <w:color w:val="000000" w:themeColor="text1"/>
        </w:rPr>
        <w:t>.</w:t>
      </w:r>
    </w:p>
    <w:p w14:paraId="6BF0F634" w14:textId="77777777" w:rsidR="00FC5952" w:rsidRPr="00F43218" w:rsidRDefault="00FC5952" w:rsidP="00FC5952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F43218">
        <w:rPr>
          <w:rFonts w:cstheme="minorHAnsi"/>
          <w:color w:val="000000" w:themeColor="text1"/>
        </w:rPr>
        <w:t>Dostarczony system musi posiadać znak CE. Urządzenie musi pochodzić z bieżącej produkcji</w:t>
      </w:r>
      <w:r>
        <w:rPr>
          <w:rFonts w:cstheme="minorHAnsi"/>
          <w:color w:val="000000" w:themeColor="text1"/>
        </w:rPr>
        <w:t>.</w:t>
      </w:r>
    </w:p>
    <w:p w14:paraId="1622146A" w14:textId="77777777" w:rsidR="00FC5952" w:rsidRPr="00B95994" w:rsidRDefault="00FC5952" w:rsidP="00FC5952">
      <w:pPr>
        <w:pStyle w:val="Akapitzlist"/>
        <w:numPr>
          <w:ilvl w:val="0"/>
          <w:numId w:val="1"/>
        </w:numPr>
      </w:pPr>
      <w:r w:rsidRPr="00B95994">
        <w:rPr>
          <w:rFonts w:cstheme="minorHAnsi"/>
          <w:color w:val="000000" w:themeColor="text1"/>
        </w:rPr>
        <w:t>System musi być zasilany ze standardowej wtyczki zasilania 220-240 V.</w:t>
      </w:r>
    </w:p>
    <w:p w14:paraId="3475F329" w14:textId="77777777" w:rsidR="00FC5952" w:rsidRDefault="00FC5952" w:rsidP="00FC5952">
      <w:pPr>
        <w:pStyle w:val="Akapitzlist"/>
        <w:numPr>
          <w:ilvl w:val="0"/>
          <w:numId w:val="1"/>
        </w:numPr>
      </w:pPr>
      <w:r w:rsidRPr="00B95994">
        <w:rPr>
          <w:rFonts w:cstheme="minorHAnsi"/>
          <w:color w:val="000000" w:themeColor="text1"/>
        </w:rPr>
        <w:t>Zakres zamówienia zawiera dostawę, montaż i uruchomienie w siedzibie zamawiającego</w:t>
      </w:r>
    </w:p>
    <w:p w14:paraId="6431A927" w14:textId="77777777" w:rsidR="00020BDA" w:rsidRPr="00FC5952" w:rsidRDefault="00020BDA" w:rsidP="00FC5952"/>
    <w:sectPr w:rsidR="00020BDA" w:rsidRPr="00FC59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8930" w14:textId="77777777" w:rsidR="000B2799" w:rsidRDefault="000B2799">
      <w:pPr>
        <w:spacing w:after="0" w:line="240" w:lineRule="auto"/>
      </w:pPr>
      <w:r>
        <w:separator/>
      </w:r>
    </w:p>
  </w:endnote>
  <w:endnote w:type="continuationSeparator" w:id="0">
    <w:p w14:paraId="00BE43A9" w14:textId="77777777" w:rsidR="000B2799" w:rsidRDefault="000B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3096" w14:textId="4D09B20B" w:rsidR="00C73380" w:rsidRPr="00C73380" w:rsidRDefault="00E34F07" w:rsidP="00C73380">
    <w:pPr>
      <w:pStyle w:val="Stopka"/>
    </w:pPr>
    <w:r w:rsidRPr="009C3D2A">
      <w:rPr>
        <w:noProof/>
        <w:lang w:eastAsia="pl-PL"/>
      </w:rPr>
      <w:drawing>
        <wp:inline distT="0" distB="0" distL="0" distR="0" wp14:anchorId="5320BDF6" wp14:editId="5D9C377E">
          <wp:extent cx="5760720" cy="788035"/>
          <wp:effectExtent l="0" t="0" r="0" b="0"/>
          <wp:docPr id="1" name="Obraz 1" descr="C:\Users\BPiP\Desktop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PiP\Desktop\FE_POI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88FB" w14:textId="77777777" w:rsidR="000B2799" w:rsidRDefault="000B2799">
      <w:pPr>
        <w:spacing w:after="0" w:line="240" w:lineRule="auto"/>
      </w:pPr>
      <w:r>
        <w:separator/>
      </w:r>
    </w:p>
  </w:footnote>
  <w:footnote w:type="continuationSeparator" w:id="0">
    <w:p w14:paraId="530064DE" w14:textId="77777777" w:rsidR="000B2799" w:rsidRDefault="000B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60BB" w14:textId="77777777" w:rsidR="00E31B1A" w:rsidRPr="00E31B1A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76" w:lineRule="auto"/>
      <w:rPr>
        <w:rFonts w:ascii="Bodoni MT Black" w:hAnsi="Bodoni MT Black"/>
        <w:sz w:val="18"/>
        <w:szCs w:val="18"/>
      </w:rPr>
    </w:pPr>
    <w:r w:rsidRPr="00E31B1A">
      <w:rPr>
        <w:rFonts w:ascii="Bodoni MT Black" w:hAnsi="Bodoni MT Black"/>
        <w:b/>
        <w:spacing w:val="-10"/>
        <w:kern w:val="28"/>
        <w:sz w:val="36"/>
        <w:szCs w:val="36"/>
      </w:rPr>
      <w:t>CeBMaT</w:t>
    </w:r>
    <w:r w:rsidRPr="00E31B1A">
      <w:rPr>
        <w:rFonts w:ascii="Bodoni MT Black" w:hAnsi="Bodoni MT Black"/>
      </w:rPr>
      <w:tab/>
    </w:r>
  </w:p>
  <w:p w14:paraId="509FC205" w14:textId="77777777" w:rsidR="00E31B1A" w:rsidRPr="00C50418" w:rsidRDefault="002B2806" w:rsidP="00E31B1A">
    <w:pPr>
      <w:tabs>
        <w:tab w:val="left" w:pos="6804"/>
        <w:tab w:val="right" w:pos="9072"/>
      </w:tabs>
      <w:spacing w:after="0" w:line="240" w:lineRule="auto"/>
      <w:rPr>
        <w:rFonts w:ascii="Calibri" w:hAnsi="Calibri" w:cs="Calibri"/>
        <w:b/>
      </w:rPr>
    </w:pPr>
    <w:r w:rsidRPr="00E31B1A">
      <w:rPr>
        <w:rFonts w:ascii="Corbel" w:hAnsi="Corbel"/>
      </w:rPr>
      <w:tab/>
    </w:r>
    <w:r w:rsidRPr="00C50418">
      <w:rPr>
        <w:rFonts w:ascii="Calibri" w:hAnsi="Calibri" w:cs="Calibri"/>
        <w:b/>
        <w:sz w:val="18"/>
        <w:szCs w:val="18"/>
      </w:rPr>
      <w:t>Biuro Projektu</w:t>
    </w:r>
  </w:p>
  <w:p w14:paraId="1BE31CB9" w14:textId="77777777" w:rsidR="00E31B1A" w:rsidRPr="00E31B1A" w:rsidRDefault="002B2806" w:rsidP="00E31B1A">
    <w:pPr>
      <w:tabs>
        <w:tab w:val="left" w:pos="6804"/>
        <w:tab w:val="right" w:pos="9072"/>
      </w:tabs>
      <w:spacing w:after="0" w:line="240" w:lineRule="auto"/>
      <w:rPr>
        <w:rFonts w:ascii="Corbel" w:hAnsi="Corbel"/>
      </w:rPr>
    </w:pPr>
    <w:r w:rsidRPr="00C50418">
      <w:rPr>
        <w:rFonts w:ascii="Calibri" w:hAnsi="Calibri" w:cs="Calibri"/>
        <w:b/>
      </w:rPr>
      <w:t>Centrum badawcze</w:t>
    </w:r>
    <w:r w:rsidRPr="00E31B1A">
      <w:rPr>
        <w:rFonts w:ascii="Corbel" w:hAnsi="Corbel"/>
      </w:rPr>
      <w:tab/>
    </w:r>
    <w:r w:rsidRPr="00C50418">
      <w:rPr>
        <w:rFonts w:ascii="Calibri" w:hAnsi="Calibri" w:cs="Calibri"/>
        <w:sz w:val="18"/>
        <w:szCs w:val="18"/>
      </w:rPr>
      <w:t>Politechnika Lubelska</w:t>
    </w:r>
  </w:p>
  <w:p w14:paraId="72D1B60D" w14:textId="77777777" w:rsidR="00E31B1A" w:rsidRPr="00C50418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</w:rPr>
    </w:pPr>
    <w:r w:rsidRPr="00C50418">
      <w:rPr>
        <w:rFonts w:ascii="Calibri" w:hAnsi="Calibri" w:cs="Calibri"/>
        <w:b/>
      </w:rPr>
      <w:t>prośrodowiskowych i energooszczędnych</w:t>
    </w:r>
    <w:r w:rsidRPr="00E31B1A">
      <w:rPr>
        <w:rFonts w:ascii="Corbel" w:hAnsi="Corbel"/>
      </w:rPr>
      <w:t xml:space="preserve"> </w:t>
    </w:r>
    <w:r w:rsidRPr="00E31B1A">
      <w:rPr>
        <w:rFonts w:ascii="Corbel" w:hAnsi="Corbel"/>
      </w:rPr>
      <w:tab/>
    </w:r>
    <w:r w:rsidRPr="00C50418">
      <w:rPr>
        <w:rFonts w:ascii="Calibri" w:hAnsi="Calibri" w:cs="Calibri"/>
        <w:sz w:val="18"/>
      </w:rPr>
      <w:t>ul. Nadbystrzycka 38 H</w:t>
    </w:r>
  </w:p>
  <w:p w14:paraId="7242108C" w14:textId="77777777" w:rsidR="00E31B1A" w:rsidRPr="00BE0EF5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  <w:sz w:val="20"/>
        <w:szCs w:val="20"/>
      </w:rPr>
    </w:pPr>
    <w:r w:rsidRPr="00C50418">
      <w:rPr>
        <w:rFonts w:ascii="Calibri" w:hAnsi="Calibri" w:cs="Calibri"/>
        <w:b/>
      </w:rPr>
      <w:t>materiałów oraz technologii</w:t>
    </w:r>
    <w:r w:rsidRPr="00C50418">
      <w:rPr>
        <w:rFonts w:ascii="Calibri" w:hAnsi="Calibri" w:cs="Calibri"/>
        <w:szCs w:val="20"/>
      </w:rPr>
      <w:t xml:space="preserve"> </w:t>
    </w:r>
    <w:r w:rsidRPr="00E31B1A">
      <w:rPr>
        <w:rFonts w:ascii="Corbel" w:hAnsi="Corbel"/>
        <w:sz w:val="20"/>
        <w:szCs w:val="20"/>
      </w:rPr>
      <w:tab/>
    </w:r>
    <w:r w:rsidRPr="00C50418">
      <w:rPr>
        <w:rFonts w:ascii="Calibri" w:hAnsi="Calibri" w:cs="Calibri"/>
        <w:sz w:val="18"/>
        <w:szCs w:val="18"/>
      </w:rPr>
      <w:t>20-618 Lublin</w:t>
    </w:r>
  </w:p>
  <w:p w14:paraId="6B81C690" w14:textId="77777777" w:rsidR="00E31B1A" w:rsidRPr="00C50418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  <w:sz w:val="18"/>
        <w:szCs w:val="18"/>
      </w:rPr>
    </w:pPr>
    <w:r w:rsidRPr="00E31B1A">
      <w:rPr>
        <w:rFonts w:ascii="Corbel" w:hAnsi="Corbel"/>
        <w:sz w:val="20"/>
        <w:szCs w:val="20"/>
      </w:rPr>
      <w:tab/>
    </w:r>
    <w:r w:rsidRPr="00C50418">
      <w:rPr>
        <w:rFonts w:ascii="Calibri" w:hAnsi="Calibri" w:cs="Calibri"/>
        <w:sz w:val="18"/>
        <w:szCs w:val="18"/>
      </w:rPr>
      <w:t>tel: (+48) 81 538 45 79</w:t>
    </w:r>
  </w:p>
  <w:p w14:paraId="6CAB7E51" w14:textId="77777777" w:rsidR="007B7A48" w:rsidRPr="00B02EC0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  <w:sz w:val="18"/>
        <w:szCs w:val="18"/>
        <w:lang w:val="de-DE"/>
      </w:rPr>
    </w:pPr>
    <w:r w:rsidRPr="00E31B1A">
      <w:rPr>
        <w:rFonts w:ascii="Corbel" w:hAnsi="Corbel"/>
        <w:sz w:val="20"/>
        <w:szCs w:val="20"/>
      </w:rPr>
      <w:tab/>
    </w:r>
    <w:r w:rsidRPr="00B02EC0">
      <w:rPr>
        <w:rFonts w:ascii="Calibri" w:hAnsi="Calibri" w:cs="Calibri"/>
        <w:sz w:val="18"/>
        <w:szCs w:val="18"/>
        <w:lang w:val="de-DE"/>
      </w:rPr>
      <w:t>e-mail</w:t>
    </w:r>
    <w:r w:rsidRPr="00B02EC0">
      <w:rPr>
        <w:rFonts w:ascii="Calibri" w:hAnsi="Calibri" w:cs="Calibri"/>
        <w:sz w:val="20"/>
        <w:szCs w:val="20"/>
        <w:lang w:val="de-DE"/>
      </w:rPr>
      <w:t xml:space="preserve">: </w:t>
    </w:r>
    <w:hyperlink r:id="rId1" w:history="1">
      <w:r w:rsidRPr="00B02EC0">
        <w:rPr>
          <w:rFonts w:ascii="Calibri" w:hAnsi="Calibri" w:cs="Calibri"/>
          <w:sz w:val="18"/>
          <w:szCs w:val="18"/>
          <w:lang w:val="de-DE"/>
        </w:rPr>
        <w:t>a.michalska@pollub.pl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5DD"/>
    <w:multiLevelType w:val="hybridMultilevel"/>
    <w:tmpl w:val="A2B2F2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F0917"/>
    <w:multiLevelType w:val="hybridMultilevel"/>
    <w:tmpl w:val="C14625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C4881"/>
    <w:multiLevelType w:val="hybridMultilevel"/>
    <w:tmpl w:val="A40A9D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3A0409"/>
    <w:multiLevelType w:val="hybridMultilevel"/>
    <w:tmpl w:val="134C8F72"/>
    <w:lvl w:ilvl="0" w:tplc="BA969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521D"/>
    <w:multiLevelType w:val="hybridMultilevel"/>
    <w:tmpl w:val="EE362D5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E5291"/>
    <w:multiLevelType w:val="hybridMultilevel"/>
    <w:tmpl w:val="A11E6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20BDA"/>
    <w:rsid w:val="000B2799"/>
    <w:rsid w:val="000C2C6D"/>
    <w:rsid w:val="001701D5"/>
    <w:rsid w:val="001F0BBA"/>
    <w:rsid w:val="00214001"/>
    <w:rsid w:val="00214FB5"/>
    <w:rsid w:val="002B2806"/>
    <w:rsid w:val="002E343A"/>
    <w:rsid w:val="003971AB"/>
    <w:rsid w:val="003B66BB"/>
    <w:rsid w:val="0046624A"/>
    <w:rsid w:val="00571C6E"/>
    <w:rsid w:val="00601656"/>
    <w:rsid w:val="0064096C"/>
    <w:rsid w:val="007B552E"/>
    <w:rsid w:val="007D33FF"/>
    <w:rsid w:val="007D7BD0"/>
    <w:rsid w:val="00860A04"/>
    <w:rsid w:val="008E1AD2"/>
    <w:rsid w:val="009709A6"/>
    <w:rsid w:val="00A513A8"/>
    <w:rsid w:val="00A8511B"/>
    <w:rsid w:val="00B02EC0"/>
    <w:rsid w:val="00B71F73"/>
    <w:rsid w:val="00B97F07"/>
    <w:rsid w:val="00BB6327"/>
    <w:rsid w:val="00D04199"/>
    <w:rsid w:val="00DF2465"/>
    <w:rsid w:val="00E33921"/>
    <w:rsid w:val="00E34F07"/>
    <w:rsid w:val="00E53B73"/>
    <w:rsid w:val="00EC1366"/>
    <w:rsid w:val="00EC7B44"/>
    <w:rsid w:val="00F43218"/>
    <w:rsid w:val="00F954EE"/>
    <w:rsid w:val="00FC0078"/>
    <w:rsid w:val="00FC5952"/>
    <w:rsid w:val="00FE737D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F1C"/>
  <w15:docId w15:val="{23BD891D-0C16-4946-8E49-78BFF177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E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EC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E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EC0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michalska@pol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Piotr Sękowski</cp:lastModifiedBy>
  <cp:revision>4</cp:revision>
  <cp:lastPrinted>2022-06-09T08:19:00Z</cp:lastPrinted>
  <dcterms:created xsi:type="dcterms:W3CDTF">2022-07-07T13:16:00Z</dcterms:created>
  <dcterms:modified xsi:type="dcterms:W3CDTF">2022-08-11T09:45:00Z</dcterms:modified>
</cp:coreProperties>
</file>