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4F" w:rsidRPr="003518BA" w:rsidRDefault="00726C4F" w:rsidP="00726C4F">
      <w:pPr>
        <w:spacing w:line="276" w:lineRule="auto"/>
        <w:jc w:val="right"/>
        <w:rPr>
          <w:rFonts w:asciiTheme="minorHAnsi" w:hAnsiTheme="minorHAnsi" w:cstheme="minorHAnsi"/>
          <w:b/>
        </w:rPr>
      </w:pPr>
      <w:r w:rsidRPr="003518BA">
        <w:rPr>
          <w:rFonts w:asciiTheme="minorHAnsi" w:hAnsiTheme="minorHAnsi" w:cstheme="minorHAnsi"/>
          <w:b/>
        </w:rPr>
        <w:t>Załącznik nr 1.</w:t>
      </w:r>
      <w:r w:rsidR="005A57C6">
        <w:rPr>
          <w:rFonts w:asciiTheme="minorHAnsi" w:hAnsiTheme="minorHAnsi" w:cstheme="minorHAnsi"/>
          <w:b/>
        </w:rPr>
        <w:t>2</w:t>
      </w:r>
      <w:r w:rsidRPr="003518BA">
        <w:rPr>
          <w:rFonts w:asciiTheme="minorHAnsi" w:hAnsiTheme="minorHAnsi" w:cstheme="minorHAnsi"/>
          <w:b/>
        </w:rPr>
        <w:t xml:space="preserve"> do SWZ</w:t>
      </w:r>
    </w:p>
    <w:p w:rsidR="00726C4F" w:rsidRPr="003518BA" w:rsidRDefault="00726C4F" w:rsidP="00726C4F">
      <w:pPr>
        <w:spacing w:line="276" w:lineRule="auto"/>
        <w:jc w:val="center"/>
        <w:rPr>
          <w:rFonts w:asciiTheme="minorHAnsi" w:hAnsiTheme="minorHAnsi" w:cstheme="minorHAnsi"/>
          <w:b/>
        </w:rPr>
      </w:pPr>
      <w:r w:rsidRPr="003518BA">
        <w:rPr>
          <w:rFonts w:asciiTheme="minorHAnsi" w:hAnsiTheme="minorHAnsi" w:cstheme="minorHAnsi"/>
          <w:b/>
        </w:rPr>
        <w:t>Opis przedmiotu zamówienia - specyfikacja techniczna oferowanego sprzętu</w:t>
      </w:r>
    </w:p>
    <w:p w:rsidR="00726C4F" w:rsidRDefault="00726C4F" w:rsidP="00726C4F">
      <w:pPr>
        <w:spacing w:line="276" w:lineRule="auto"/>
        <w:rPr>
          <w:rFonts w:ascii="Georgia" w:hAnsi="Georgia"/>
          <w:kern w:val="0"/>
        </w:rPr>
      </w:pPr>
      <w:r w:rsidRPr="00B058C5">
        <w:rPr>
          <w:rFonts w:ascii="Calibri" w:hAnsi="Calibri" w:cs="Calibri"/>
        </w:rPr>
        <w:t xml:space="preserve">Dostawa </w:t>
      </w:r>
      <w:r w:rsidR="005A57C6">
        <w:rPr>
          <w:rFonts w:ascii="Calibri" w:hAnsi="Calibri" w:cs="Calibri"/>
        </w:rPr>
        <w:t>dwumodułowej stacji do zatapiania</w:t>
      </w:r>
      <w:r w:rsidRPr="00B058C5">
        <w:rPr>
          <w:rFonts w:ascii="Calibri" w:hAnsi="Calibri" w:cs="Calibri"/>
        </w:rPr>
        <w:t xml:space="preserve"> na potrzeby Wydziału Medycznego KUL</w:t>
      </w:r>
    </w:p>
    <w:tbl>
      <w:tblPr>
        <w:tblW w:w="9135" w:type="dxa"/>
        <w:tblInd w:w="93" w:type="dxa"/>
        <w:tblLayout w:type="fixed"/>
        <w:tblCellMar>
          <w:left w:w="5" w:type="dxa"/>
          <w:right w:w="5" w:type="dxa"/>
        </w:tblCellMar>
        <w:tblLook w:val="04A0" w:firstRow="1" w:lastRow="0" w:firstColumn="1" w:lastColumn="0" w:noHBand="0" w:noVBand="1"/>
      </w:tblPr>
      <w:tblGrid>
        <w:gridCol w:w="1178"/>
        <w:gridCol w:w="5244"/>
        <w:gridCol w:w="2713"/>
      </w:tblGrid>
      <w:tr w:rsidR="00B16378" w:rsidRPr="00B16378" w:rsidTr="00B16378">
        <w:tc>
          <w:tcPr>
            <w:tcW w:w="9135" w:type="dxa"/>
            <w:gridSpan w:val="3"/>
            <w:tcBorders>
              <w:top w:val="nil"/>
              <w:left w:val="single" w:sz="4" w:space="0" w:color="000000"/>
              <w:bottom w:val="single" w:sz="4" w:space="0" w:color="000000"/>
              <w:right w:val="single" w:sz="4" w:space="0" w:color="000000"/>
            </w:tcBorders>
            <w:shd w:val="clear" w:color="auto" w:fill="FF9900"/>
          </w:tcPr>
          <w:p w:rsidR="00B16378" w:rsidRPr="00B16378" w:rsidRDefault="00B16378" w:rsidP="00B16378">
            <w:pPr>
              <w:spacing w:line="276" w:lineRule="auto"/>
              <w:jc w:val="center"/>
              <w:rPr>
                <w:rFonts w:asciiTheme="minorHAnsi" w:hAnsiTheme="minorHAnsi" w:cstheme="minorHAnsi"/>
                <w:b/>
                <w:bCs/>
              </w:rPr>
            </w:pPr>
            <w:r w:rsidRPr="00B16378">
              <w:rPr>
                <w:rFonts w:asciiTheme="minorHAnsi" w:hAnsiTheme="minorHAnsi" w:cstheme="minorHAnsi"/>
                <w:b/>
                <w:bCs/>
              </w:rPr>
              <w:t>Stacja do zatapiania – 1 sztuka</w:t>
            </w:r>
          </w:p>
          <w:p w:rsidR="00B16378" w:rsidRPr="00B16378" w:rsidRDefault="00B16378" w:rsidP="00B16378">
            <w:pPr>
              <w:spacing w:line="276" w:lineRule="auto"/>
              <w:jc w:val="center"/>
              <w:rPr>
                <w:rFonts w:asciiTheme="minorHAnsi" w:hAnsiTheme="minorHAnsi" w:cstheme="minorHAnsi"/>
                <w:b/>
                <w:bCs/>
              </w:rPr>
            </w:pPr>
          </w:p>
        </w:tc>
      </w:tr>
      <w:tr w:rsidR="00B16378" w:rsidRPr="00B16378" w:rsidTr="00B16378">
        <w:tc>
          <w:tcPr>
            <w:tcW w:w="6422" w:type="dxa"/>
            <w:gridSpan w:val="2"/>
            <w:tcBorders>
              <w:top w:val="single" w:sz="4" w:space="0" w:color="000000"/>
              <w:left w:val="single" w:sz="4" w:space="0" w:color="000000"/>
              <w:bottom w:val="single" w:sz="4" w:space="0" w:color="000000"/>
              <w:right w:val="nil"/>
            </w:tcBorders>
            <w:shd w:val="clear" w:color="auto" w:fill="FF9900"/>
            <w:tcMar>
              <w:top w:w="0" w:type="dxa"/>
              <w:left w:w="108" w:type="dxa"/>
              <w:bottom w:w="0" w:type="dxa"/>
              <w:right w:w="108" w:type="dxa"/>
            </w:tcMar>
            <w:vAlign w:val="center"/>
          </w:tcPr>
          <w:p w:rsidR="00B16378" w:rsidRPr="00B16378" w:rsidRDefault="00B16378" w:rsidP="00B16378">
            <w:pPr>
              <w:spacing w:line="276" w:lineRule="auto"/>
              <w:rPr>
                <w:rFonts w:asciiTheme="minorHAnsi" w:hAnsiTheme="minorHAnsi" w:cstheme="minorHAnsi"/>
              </w:rPr>
            </w:pPr>
            <w:r w:rsidRPr="00B16378">
              <w:rPr>
                <w:rFonts w:asciiTheme="minorHAnsi" w:hAnsiTheme="minorHAnsi" w:cstheme="minorHAnsi"/>
                <w:b/>
                <w:bCs/>
              </w:rPr>
              <w:t>Nazwa oferowanego urządzenia</w:t>
            </w:r>
          </w:p>
          <w:p w:rsidR="00B16378" w:rsidRPr="00B16378" w:rsidRDefault="00B16378" w:rsidP="00B16378">
            <w:pPr>
              <w:spacing w:line="276" w:lineRule="auto"/>
              <w:rPr>
                <w:rFonts w:asciiTheme="minorHAnsi" w:hAnsiTheme="minorHAnsi" w:cstheme="minorHAnsi"/>
                <w:b/>
                <w:bCs/>
              </w:rPr>
            </w:pPr>
          </w:p>
        </w:tc>
        <w:tc>
          <w:tcPr>
            <w:tcW w:w="2713" w:type="dxa"/>
            <w:tcBorders>
              <w:top w:val="nil"/>
              <w:left w:val="single" w:sz="4" w:space="0" w:color="000000"/>
              <w:bottom w:val="single" w:sz="4" w:space="0" w:color="000000"/>
              <w:right w:val="single" w:sz="4" w:space="0" w:color="000000"/>
            </w:tcBorders>
            <w:shd w:val="clear" w:color="auto" w:fill="auto"/>
          </w:tcPr>
          <w:p w:rsidR="00B16378" w:rsidRPr="00B16378" w:rsidRDefault="00B16378" w:rsidP="00B16378">
            <w:pPr>
              <w:spacing w:line="276" w:lineRule="auto"/>
              <w:rPr>
                <w:rFonts w:asciiTheme="minorHAnsi" w:hAnsiTheme="minorHAnsi" w:cstheme="minorHAnsi"/>
              </w:rPr>
            </w:pPr>
          </w:p>
        </w:tc>
      </w:tr>
      <w:tr w:rsidR="00B16378" w:rsidRPr="00B16378" w:rsidTr="00B16378">
        <w:tc>
          <w:tcPr>
            <w:tcW w:w="6422" w:type="dxa"/>
            <w:gridSpan w:val="2"/>
            <w:tcBorders>
              <w:top w:val="nil"/>
              <w:left w:val="single" w:sz="4" w:space="0" w:color="000000"/>
              <w:bottom w:val="single" w:sz="4" w:space="0" w:color="000000"/>
              <w:right w:val="single" w:sz="4" w:space="0" w:color="000000"/>
            </w:tcBorders>
            <w:shd w:val="clear" w:color="auto" w:fill="FF9900"/>
          </w:tcPr>
          <w:p w:rsidR="00B16378" w:rsidRPr="00B16378" w:rsidRDefault="00B16378" w:rsidP="00B16378">
            <w:pPr>
              <w:spacing w:line="276" w:lineRule="auto"/>
              <w:rPr>
                <w:rFonts w:asciiTheme="minorHAnsi" w:hAnsiTheme="minorHAnsi" w:cstheme="minorHAnsi"/>
              </w:rPr>
            </w:pPr>
            <w:r w:rsidRPr="00B16378">
              <w:rPr>
                <w:rFonts w:asciiTheme="minorHAnsi" w:hAnsiTheme="minorHAnsi" w:cstheme="minorHAnsi"/>
                <w:b/>
                <w:bCs/>
              </w:rPr>
              <w:t>Producent</w:t>
            </w:r>
          </w:p>
          <w:p w:rsidR="00B16378" w:rsidRPr="00B16378" w:rsidRDefault="00B16378" w:rsidP="00B16378">
            <w:pPr>
              <w:spacing w:line="276" w:lineRule="auto"/>
              <w:rPr>
                <w:rFonts w:asciiTheme="minorHAnsi" w:hAnsiTheme="minorHAnsi" w:cstheme="minorHAnsi"/>
                <w:b/>
                <w:bCs/>
              </w:rPr>
            </w:pPr>
          </w:p>
        </w:tc>
        <w:tc>
          <w:tcPr>
            <w:tcW w:w="2713" w:type="dxa"/>
            <w:tcBorders>
              <w:top w:val="nil"/>
              <w:left w:val="single" w:sz="4" w:space="0" w:color="000000"/>
              <w:bottom w:val="single" w:sz="4" w:space="0" w:color="000000"/>
              <w:right w:val="single" w:sz="4" w:space="0" w:color="000000"/>
            </w:tcBorders>
            <w:shd w:val="clear" w:color="auto" w:fill="auto"/>
          </w:tcPr>
          <w:p w:rsidR="00B16378" w:rsidRPr="00B16378" w:rsidRDefault="00B16378" w:rsidP="00B16378">
            <w:pPr>
              <w:spacing w:line="276" w:lineRule="auto"/>
              <w:rPr>
                <w:rFonts w:asciiTheme="minorHAnsi" w:hAnsiTheme="minorHAnsi" w:cstheme="minorHAnsi"/>
              </w:rPr>
            </w:pPr>
          </w:p>
        </w:tc>
      </w:tr>
      <w:tr w:rsidR="00B16378" w:rsidRPr="00B16378" w:rsidTr="00B16378">
        <w:tc>
          <w:tcPr>
            <w:tcW w:w="6422" w:type="dxa"/>
            <w:gridSpan w:val="2"/>
            <w:tcBorders>
              <w:top w:val="nil"/>
              <w:left w:val="single" w:sz="4" w:space="0" w:color="000000"/>
              <w:bottom w:val="single" w:sz="4" w:space="0" w:color="000000"/>
              <w:right w:val="single" w:sz="4" w:space="0" w:color="000000"/>
            </w:tcBorders>
            <w:shd w:val="clear" w:color="auto" w:fill="FF9900"/>
          </w:tcPr>
          <w:p w:rsidR="00B16378" w:rsidRPr="00B16378" w:rsidRDefault="00B16378" w:rsidP="00B16378">
            <w:pPr>
              <w:spacing w:line="276" w:lineRule="auto"/>
              <w:rPr>
                <w:rFonts w:asciiTheme="minorHAnsi" w:hAnsiTheme="minorHAnsi" w:cstheme="minorHAnsi"/>
              </w:rPr>
            </w:pPr>
            <w:r w:rsidRPr="00B16378">
              <w:rPr>
                <w:rFonts w:asciiTheme="minorHAnsi" w:hAnsiTheme="minorHAnsi" w:cstheme="minorHAnsi"/>
                <w:b/>
                <w:bCs/>
              </w:rPr>
              <w:t>Typ/model/kod producenta</w:t>
            </w:r>
          </w:p>
          <w:p w:rsidR="00B16378" w:rsidRPr="00B16378" w:rsidRDefault="00B16378" w:rsidP="00B16378">
            <w:pPr>
              <w:spacing w:line="276" w:lineRule="auto"/>
              <w:rPr>
                <w:rFonts w:asciiTheme="minorHAnsi" w:hAnsiTheme="minorHAnsi" w:cstheme="minorHAnsi"/>
                <w:b/>
                <w:bCs/>
              </w:rPr>
            </w:pPr>
          </w:p>
        </w:tc>
        <w:tc>
          <w:tcPr>
            <w:tcW w:w="2713" w:type="dxa"/>
            <w:tcBorders>
              <w:top w:val="nil"/>
              <w:left w:val="single" w:sz="4" w:space="0" w:color="000000"/>
              <w:bottom w:val="single" w:sz="4" w:space="0" w:color="000000"/>
              <w:right w:val="single" w:sz="4" w:space="0" w:color="000000"/>
            </w:tcBorders>
            <w:shd w:val="clear" w:color="auto" w:fill="auto"/>
          </w:tcPr>
          <w:p w:rsidR="00B16378" w:rsidRPr="00B16378" w:rsidRDefault="00B16378" w:rsidP="00B16378">
            <w:pPr>
              <w:spacing w:line="276" w:lineRule="auto"/>
              <w:rPr>
                <w:rFonts w:asciiTheme="minorHAnsi" w:hAnsiTheme="minorHAnsi" w:cstheme="minorHAnsi"/>
              </w:rPr>
            </w:pPr>
          </w:p>
        </w:tc>
      </w:tr>
      <w:tr w:rsidR="00B16378" w:rsidRPr="00B16378" w:rsidTr="00B16378">
        <w:tc>
          <w:tcPr>
            <w:tcW w:w="1178"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ormalnyWeb"/>
              <w:spacing w:before="0" w:line="276" w:lineRule="auto"/>
              <w:rPr>
                <w:rFonts w:asciiTheme="minorHAnsi" w:hAnsiTheme="minorHAnsi" w:cstheme="minorHAnsi"/>
              </w:rPr>
            </w:pPr>
            <w:r w:rsidRPr="00B16378">
              <w:rPr>
                <w:rFonts w:asciiTheme="minorHAnsi" w:hAnsiTheme="minorHAnsi" w:cstheme="minorHAnsi"/>
                <w:b/>
                <w:bCs/>
              </w:rPr>
              <w:t>Lp.</w:t>
            </w:r>
          </w:p>
        </w:tc>
        <w:tc>
          <w:tcPr>
            <w:tcW w:w="5244"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ormalnyWeb"/>
              <w:spacing w:before="0" w:line="276" w:lineRule="auto"/>
              <w:jc w:val="center"/>
              <w:rPr>
                <w:rFonts w:asciiTheme="minorHAnsi" w:hAnsiTheme="minorHAnsi" w:cstheme="minorHAnsi"/>
              </w:rPr>
            </w:pPr>
            <w:r w:rsidRPr="00B16378">
              <w:rPr>
                <w:rFonts w:asciiTheme="minorHAnsi" w:hAnsiTheme="minorHAnsi" w:cstheme="minorHAnsi"/>
                <w:b/>
                <w:bCs/>
                <w:color w:val="000000"/>
              </w:rPr>
              <w:t>Parametry wymagane</w:t>
            </w:r>
          </w:p>
        </w:tc>
        <w:tc>
          <w:tcPr>
            <w:tcW w:w="2713"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ormalnyWeb"/>
              <w:keepNext/>
              <w:spacing w:before="0" w:line="276" w:lineRule="auto"/>
              <w:ind w:left="360"/>
              <w:jc w:val="center"/>
              <w:rPr>
                <w:rFonts w:asciiTheme="minorHAnsi" w:hAnsiTheme="minorHAnsi" w:cstheme="minorHAnsi"/>
              </w:rPr>
            </w:pPr>
            <w:r w:rsidRPr="00B16378">
              <w:rPr>
                <w:rFonts w:asciiTheme="minorHAnsi" w:hAnsiTheme="minorHAnsi" w:cstheme="minorHAnsi"/>
                <w:b/>
                <w:bCs/>
              </w:rPr>
              <w:t>Parametry oferowane</w:t>
            </w:r>
          </w:p>
        </w:tc>
      </w:tr>
      <w:tr w:rsidR="00B16378" w:rsidRPr="00B16378" w:rsidTr="00B16378">
        <w:tc>
          <w:tcPr>
            <w:tcW w:w="117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rPr>
                <w:rFonts w:asciiTheme="minorHAnsi" w:hAnsiTheme="minorHAnsi" w:cstheme="minorHAnsi"/>
              </w:rPr>
            </w:pPr>
          </w:p>
        </w:tc>
        <w:tc>
          <w:tcPr>
            <w:tcW w:w="5244"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Stacja do zatapiania (</w:t>
            </w:r>
            <w:proofErr w:type="spellStart"/>
            <w:r w:rsidRPr="00B16378">
              <w:rPr>
                <w:rFonts w:asciiTheme="minorHAnsi" w:eastAsiaTheme="minorHAnsi" w:hAnsiTheme="minorHAnsi" w:cstheme="minorHAnsi"/>
              </w:rPr>
              <w:t>zatapiarka</w:t>
            </w:r>
            <w:proofErr w:type="spellEnd"/>
            <w:r w:rsidRPr="00B16378">
              <w:rPr>
                <w:rFonts w:asciiTheme="minorHAnsi" w:eastAsiaTheme="minorHAnsi" w:hAnsiTheme="minorHAnsi" w:cstheme="minorHAnsi"/>
              </w:rPr>
              <w:t xml:space="preserve"> parafinowa) dwumodułowa: moduł zatapiający (dystrybutor parafiny) oraz moduł chłodzący (płyta chłodząca)</w:t>
            </w:r>
          </w:p>
        </w:tc>
        <w:tc>
          <w:tcPr>
            <w:tcW w:w="2713"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ind w:right="-113"/>
              <w:rPr>
                <w:rFonts w:asciiTheme="minorHAnsi" w:hAnsiTheme="minorHAnsi" w:cstheme="minorHAnsi"/>
                <w:sz w:val="22"/>
                <w:szCs w:val="22"/>
              </w:rPr>
            </w:pPr>
            <w:r w:rsidRPr="00B16378">
              <w:rPr>
                <w:rFonts w:asciiTheme="minorHAnsi" w:eastAsiaTheme="minorHAnsi" w:hAnsiTheme="minorHAnsi" w:cstheme="minorHAnsi"/>
                <w:sz w:val="22"/>
                <w:szCs w:val="22"/>
              </w:rPr>
              <w:t>Możliwość zaprogramowania niezależnych godzin pracy dla każdego z modułów osobno</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6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b/>
                <w:sz w:val="22"/>
                <w:szCs w:val="22"/>
              </w:rPr>
              <w:t>Moduł zatapiający (dystrybutor parafiny)</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Moduł zatapiający do zatapiania preparatów parafiną oraz podgrzewania kasetek i/lub foremek do zatapiania niezależny elektro-mechanicznie od modułu chłodzącego.</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lang w:val="en-US"/>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Możliwość programowania parametrów pracy bezpośrednio w panelu kontrolnym w module zatapiającym</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 xml:space="preserve">Pojemność zbiornika na parafinę minimum - 3.8 litra </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Regulacja temperatury zbiornika na parafinę w zakresie: 30-80</w:t>
            </w:r>
            <w:r w:rsidRPr="00B16378">
              <w:rPr>
                <w:rFonts w:asciiTheme="minorHAnsi" w:eastAsiaTheme="minorHAnsi" w:hAnsiTheme="minorHAnsi" w:cstheme="minorHAnsi"/>
                <w:sz w:val="22"/>
                <w:szCs w:val="22"/>
                <w:vertAlign w:val="superscript"/>
              </w:rPr>
              <w:t>o</w:t>
            </w:r>
            <w:r w:rsidRPr="00B16378">
              <w:rPr>
                <w:rFonts w:asciiTheme="minorHAnsi" w:eastAsiaTheme="minorHAnsi" w:hAnsiTheme="minorHAnsi" w:cstheme="minorHAnsi"/>
                <w:sz w:val="22"/>
                <w:szCs w:val="22"/>
              </w:rPr>
              <w:t>C</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Skok regulacji temperatury zbiornika na parafinę: 1</w:t>
            </w:r>
            <w:r w:rsidRPr="00B16378">
              <w:rPr>
                <w:rFonts w:asciiTheme="minorHAnsi" w:eastAsiaTheme="minorHAnsi" w:hAnsiTheme="minorHAnsi" w:cstheme="minorHAnsi"/>
                <w:sz w:val="22"/>
                <w:szCs w:val="22"/>
                <w:vertAlign w:val="superscript"/>
              </w:rPr>
              <w:t>o</w:t>
            </w:r>
            <w:r w:rsidRPr="00B16378">
              <w:rPr>
                <w:rFonts w:asciiTheme="minorHAnsi" w:eastAsiaTheme="minorHAnsi" w:hAnsiTheme="minorHAnsi" w:cstheme="minorHAnsi"/>
                <w:sz w:val="22"/>
                <w:szCs w:val="22"/>
              </w:rPr>
              <w:t>C</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5"/>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 xml:space="preserve">Dwa podgrzewane pojemniki: na kasetki i na foremki </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Regulacja temperatury podgrzewanych zbiorników w zakresie: 30-80</w:t>
            </w:r>
            <w:r w:rsidRPr="00B16378">
              <w:rPr>
                <w:rFonts w:asciiTheme="minorHAnsi" w:eastAsiaTheme="minorHAnsi" w:hAnsiTheme="minorHAnsi" w:cstheme="minorHAnsi"/>
                <w:vertAlign w:val="superscript"/>
              </w:rPr>
              <w:t>o</w:t>
            </w:r>
            <w:r w:rsidRPr="00B16378">
              <w:rPr>
                <w:rFonts w:asciiTheme="minorHAnsi" w:eastAsiaTheme="minorHAnsi" w:hAnsiTheme="minorHAnsi" w:cstheme="minorHAnsi"/>
              </w:rPr>
              <w:t>C</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Pojemność podgrzewanych pojemników: minimum 120 kasetek lub minimum 250 foremek</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 xml:space="preserve">Wyjmowane tacki podgrzewanych zbiorników </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Skok regulacji temperatury podgrzewanych pojemników:  1</w:t>
            </w:r>
            <w:r w:rsidRPr="00B16378">
              <w:rPr>
                <w:rFonts w:asciiTheme="minorHAnsi" w:eastAsiaTheme="minorHAnsi" w:hAnsiTheme="minorHAnsi" w:cstheme="minorHAnsi"/>
                <w:vertAlign w:val="superscript"/>
              </w:rPr>
              <w:t>o</w:t>
            </w:r>
            <w:r w:rsidRPr="00B16378">
              <w:rPr>
                <w:rFonts w:asciiTheme="minorHAnsi" w:eastAsiaTheme="minorHAnsi" w:hAnsiTheme="minorHAnsi" w:cstheme="minorHAnsi"/>
              </w:rPr>
              <w:t>C</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Zdejmowane pokrywki podgrzewanych zbiorników</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Urządzenie wyposażone w podgrzewany obszar roboczy z wyżłobieniami odprowadzającymi parafinę</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lang w:val="en-US"/>
              </w:rPr>
            </w:pPr>
            <w:r w:rsidRPr="00B16378">
              <w:rPr>
                <w:rFonts w:asciiTheme="minorHAnsi" w:eastAsiaTheme="minorHAnsi" w:hAnsiTheme="minorHAnsi" w:cstheme="minorHAnsi"/>
              </w:rPr>
              <w:t>Regulacja temperatury podgrzewanego obszaru roboczego w zakresie: 30-80</w:t>
            </w:r>
            <w:r w:rsidRPr="00B16378">
              <w:rPr>
                <w:rFonts w:asciiTheme="minorHAnsi" w:eastAsiaTheme="minorHAnsi" w:hAnsiTheme="minorHAnsi" w:cstheme="minorHAnsi"/>
                <w:vertAlign w:val="superscript"/>
              </w:rPr>
              <w:t>o</w:t>
            </w:r>
            <w:r w:rsidRPr="00B16378">
              <w:rPr>
                <w:rFonts w:asciiTheme="minorHAnsi" w:eastAsiaTheme="minorHAnsi" w:hAnsiTheme="minorHAnsi" w:cstheme="minorHAnsi"/>
              </w:rPr>
              <w:t>C</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Skok regulacji temperatury obszaru roboczego na parafinę: 1</w:t>
            </w:r>
            <w:r w:rsidRPr="00B16378">
              <w:rPr>
                <w:rFonts w:asciiTheme="minorHAnsi" w:eastAsiaTheme="minorHAnsi" w:hAnsiTheme="minorHAnsi" w:cstheme="minorHAnsi"/>
                <w:vertAlign w:val="superscript"/>
              </w:rPr>
              <w:t>o</w:t>
            </w:r>
            <w:r w:rsidRPr="00B16378">
              <w:rPr>
                <w:rFonts w:asciiTheme="minorHAnsi" w:eastAsiaTheme="minorHAnsi" w:hAnsiTheme="minorHAnsi" w:cstheme="minorHAnsi"/>
              </w:rPr>
              <w:t>C</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Obszar roboczy wyposażony w trymer do usuwania nadmiaru parafiny z kasetek histopatologicznych</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Urządzenie wyposażone w punkt chłodzący (płytkę) do wstępnego schładzania parafiny</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Wymiary płytki chłodzącej 50x50mm</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Temperatura punktu szybkiego schładzania wstępnego do -5⁰C</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Możliwość włączania i wyłączania chłodzenia punktowego</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Urządzenie wyposażone w wyświetlacz typu LCD we frontowej części obudowy</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Wyświetlacz wskazujący jednocześnie parametry pracy: zadana temperatura zbiornika na parafinę, aktualna temperatura zbiornika na parafinę, zadana temperatura pojemników, aktualna temperatura pojemników, zadana temperatura zbiornika obszaru roboczego, aktualna temperatura obszaru roboczego, status włączenia punktu chłodzącego, czas, data</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 xml:space="preserve">Sterowanie funkcjami urządzenia za pomocą przycisków znajdujących się we frontowej części obudowy odpornych na zabrudzenia parafiną </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Możliwość zaprogramowania dni pracy urządzenia w cyklu tygodniowym (dni w których urządzenie samodzielnie włącza ogrzewanie)</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Możliwość zaprogramowania godzin pracy w cyklu dobowym (godziny w których urządzenie samodzielnie włącza ogrzewanie)</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 xml:space="preserve">Możliwość wprowadzenia urządzenia w stan uśpienia </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Wypływ parafiny aktywowany za pomocą odchylanego przełącznika lub pedału nożnego</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Regulacja przepływu strumienia parafiny</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Możliwość całkowitego zablokowania przepływu parafiny za pomocą pokrętła</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 xml:space="preserve">Oświetlenie własne urządzenia typu LED o regulowanym kącie świecenia </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Dwa uchwyty na pincety podgrzewane metodą konwekcji z powierzchni roboczej</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rPr>
                <w:rFonts w:asciiTheme="minorHAnsi" w:hAnsiTheme="minorHAnsi" w:cstheme="minorHAnsi"/>
              </w:rPr>
            </w:pPr>
          </w:p>
        </w:tc>
      </w:tr>
      <w:tr w:rsidR="00B16378" w:rsidRPr="00B16378" w:rsidTr="00B16378">
        <w:trPr>
          <w:trHeight w:val="591"/>
        </w:trPr>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 xml:space="preserve">Możliwość łatwego zdjęcia uchwytów z powierzchni roboczej </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rPr>
          <w:trHeight w:val="377"/>
        </w:trPr>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color w:val="000000"/>
                <w:sz w:val="22"/>
                <w:szCs w:val="22"/>
              </w:rPr>
            </w:pPr>
            <w:r w:rsidRPr="00B16378">
              <w:rPr>
                <w:rFonts w:asciiTheme="minorHAnsi" w:eastAsiaTheme="minorHAnsi" w:hAnsiTheme="minorHAnsi" w:cstheme="minorHAnsi"/>
                <w:sz w:val="22"/>
                <w:szCs w:val="22"/>
              </w:rPr>
              <w:t>Możliwość podłączenia bezpośrednio do urządzenia elektrycznie podgrzewanej pincety</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color w:val="000000"/>
                <w:sz w:val="22"/>
                <w:szCs w:val="22"/>
              </w:rPr>
            </w:pPr>
            <w:r w:rsidRPr="00B16378">
              <w:rPr>
                <w:rFonts w:asciiTheme="minorHAnsi" w:eastAsiaTheme="minorHAnsi" w:hAnsiTheme="minorHAnsi" w:cstheme="minorHAnsi"/>
                <w:sz w:val="22"/>
                <w:szCs w:val="22"/>
              </w:rPr>
              <w:t>System odprowadzania i magazynowania nadmiaru parafiny</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color w:val="000000"/>
                <w:sz w:val="22"/>
                <w:szCs w:val="22"/>
              </w:rPr>
            </w:pPr>
            <w:r w:rsidRPr="00B16378">
              <w:rPr>
                <w:rFonts w:asciiTheme="minorHAnsi" w:eastAsiaTheme="minorHAnsi" w:hAnsiTheme="minorHAnsi" w:cstheme="minorHAnsi"/>
                <w:sz w:val="22"/>
                <w:szCs w:val="22"/>
              </w:rPr>
              <w:t xml:space="preserve">Wysuwana szuflada do łatwego usuwania nadmiaru </w:t>
            </w:r>
            <w:r w:rsidRPr="00B16378">
              <w:rPr>
                <w:rFonts w:asciiTheme="minorHAnsi" w:eastAsiaTheme="minorHAnsi" w:hAnsiTheme="minorHAnsi" w:cstheme="minorHAnsi"/>
                <w:sz w:val="22"/>
                <w:szCs w:val="22"/>
              </w:rPr>
              <w:lastRenderedPageBreak/>
              <w:t>parafiny</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rPr>
          <w:trHeight w:val="291"/>
        </w:trPr>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color w:val="000000"/>
              </w:rPr>
            </w:pPr>
            <w:r w:rsidRPr="00B16378">
              <w:rPr>
                <w:rFonts w:asciiTheme="minorHAnsi" w:eastAsiaTheme="minorHAnsi" w:hAnsiTheme="minorHAnsi" w:cstheme="minorHAnsi"/>
              </w:rPr>
              <w:t>Szkło powiększające z uchwytem typu „gęsia szyja” zapewniającym płynną regulację położenia w trzech osiach</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color w:val="000000"/>
                <w:sz w:val="22"/>
                <w:szCs w:val="22"/>
              </w:rPr>
            </w:pPr>
            <w:r w:rsidRPr="00B16378">
              <w:rPr>
                <w:rFonts w:asciiTheme="minorHAnsi" w:eastAsiaTheme="minorHAnsi" w:hAnsiTheme="minorHAnsi" w:cstheme="minorHAnsi"/>
                <w:sz w:val="22"/>
                <w:szCs w:val="22"/>
              </w:rPr>
              <w:t>Menu w języku polskim</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color w:val="000000"/>
                <w:sz w:val="22"/>
                <w:szCs w:val="22"/>
              </w:rPr>
            </w:pPr>
            <w:r w:rsidRPr="00B16378">
              <w:rPr>
                <w:rFonts w:asciiTheme="minorHAnsi" w:eastAsiaTheme="minorHAnsi" w:hAnsiTheme="minorHAnsi" w:cstheme="minorHAnsi"/>
                <w:sz w:val="22"/>
                <w:szCs w:val="22"/>
              </w:rPr>
              <w:t>Zasilanie 230V, 50/60Hz</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color w:val="000000"/>
                <w:sz w:val="22"/>
                <w:szCs w:val="22"/>
              </w:rPr>
            </w:pPr>
            <w:r w:rsidRPr="00B16378">
              <w:rPr>
                <w:rFonts w:asciiTheme="minorHAnsi" w:eastAsiaTheme="minorHAnsi" w:hAnsiTheme="minorHAnsi" w:cstheme="minorHAnsi"/>
                <w:sz w:val="22"/>
                <w:szCs w:val="22"/>
              </w:rPr>
              <w:t>Deklaracja CE/IVD</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6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color w:val="000000"/>
              </w:rPr>
            </w:pPr>
            <w:r w:rsidRPr="00B16378">
              <w:rPr>
                <w:rFonts w:asciiTheme="minorHAnsi" w:eastAsiaTheme="minorHAnsi" w:hAnsiTheme="minorHAnsi" w:cstheme="minorHAnsi"/>
                <w:b/>
              </w:rPr>
              <w:t>Moduł chłodzący (płyta chłodząca)</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Płyta chłodząca do schładzania bloczków parafinowych niezależna elektro-mechanicznie od pozostałych modułów</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Chłodzenie obszaru roboczego do -15</w:t>
            </w:r>
            <w:r w:rsidRPr="00B16378">
              <w:rPr>
                <w:rFonts w:asciiTheme="minorHAnsi" w:eastAsiaTheme="minorHAnsi" w:hAnsiTheme="minorHAnsi" w:cstheme="minorHAnsi"/>
                <w:sz w:val="22"/>
                <w:szCs w:val="22"/>
                <w:vertAlign w:val="superscript"/>
              </w:rPr>
              <w:t>o</w:t>
            </w:r>
            <w:r w:rsidRPr="00B16378">
              <w:rPr>
                <w:rFonts w:asciiTheme="minorHAnsi" w:eastAsiaTheme="minorHAnsi" w:hAnsiTheme="minorHAnsi" w:cstheme="minorHAnsi"/>
                <w:sz w:val="22"/>
                <w:szCs w:val="22"/>
              </w:rPr>
              <w:t>C</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Skok regulacji temperatury: 1</w:t>
            </w:r>
            <w:r w:rsidRPr="00B16378">
              <w:rPr>
                <w:rFonts w:asciiTheme="minorHAnsi" w:eastAsiaTheme="minorHAnsi" w:hAnsiTheme="minorHAnsi" w:cstheme="minorHAnsi"/>
                <w:sz w:val="22"/>
                <w:szCs w:val="22"/>
                <w:vertAlign w:val="superscript"/>
              </w:rPr>
              <w:t>o</w:t>
            </w:r>
            <w:r w:rsidRPr="00B16378">
              <w:rPr>
                <w:rFonts w:asciiTheme="minorHAnsi" w:eastAsiaTheme="minorHAnsi" w:hAnsiTheme="minorHAnsi" w:cstheme="minorHAnsi"/>
                <w:sz w:val="22"/>
                <w:szCs w:val="22"/>
              </w:rPr>
              <w:t>C</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Pojemność obszaru roboczego na minimum 80 standardowych kasetek histopatologicznych</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spacing w:line="276" w:lineRule="auto"/>
              <w:jc w:val="center"/>
              <w:rPr>
                <w:rFonts w:asciiTheme="minorHAnsi" w:hAnsiTheme="minorHAnsi" w:cstheme="minorHAnsi"/>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Urządzenie wyposażone w wyświetlacz typu LCD we frontowej części obudowy</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Wyświetlacz wskazujący na bieżąco parametry pracy: zadana temperatura pracy, aktualna temperatura płyty, czas, data</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Sterowanie funkcjami urządzenia za pomocą przycisków znajdujących się we frontowej części obudowy</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Możliwość zaprogramowania dni pracy urządzenia w cyklu tygodniowym (dni w których urządzenie samodzielnie włącza chłodzenie)</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rPr>
            </w:pPr>
            <w:r w:rsidRPr="00B16378">
              <w:rPr>
                <w:rFonts w:asciiTheme="minorHAnsi" w:eastAsiaTheme="minorHAnsi" w:hAnsiTheme="minorHAnsi" w:cstheme="minorHAnsi"/>
              </w:rPr>
              <w:t>Możliwość zaprogramowania godzin pracy w cyklu dobowym (godziny w których urządzenie samodzielnie włącza chłodzenie)</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3"/>
              <w:widowControl w:val="0"/>
              <w:spacing w:line="276" w:lineRule="auto"/>
              <w:rPr>
                <w:rFonts w:asciiTheme="minorHAnsi" w:hAnsiTheme="minorHAnsi" w:cstheme="minorHAnsi"/>
                <w:sz w:val="22"/>
                <w:szCs w:val="22"/>
              </w:rPr>
            </w:pPr>
            <w:r w:rsidRPr="00B16378">
              <w:rPr>
                <w:rFonts w:asciiTheme="minorHAnsi" w:eastAsiaTheme="minorHAnsi" w:hAnsiTheme="minorHAnsi" w:cstheme="minorHAnsi"/>
                <w:sz w:val="22"/>
                <w:szCs w:val="22"/>
              </w:rPr>
              <w:t xml:space="preserve">Możliwość wprowadzenia urządzenia w stan uśpienia </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spacing w:line="276" w:lineRule="auto"/>
              <w:rPr>
                <w:rFonts w:asciiTheme="minorHAnsi" w:hAnsiTheme="minorHAnsi" w:cstheme="minorHAnsi"/>
                <w:lang w:eastAsia="zh-CN"/>
              </w:rPr>
            </w:pPr>
            <w:r w:rsidRPr="00B16378">
              <w:rPr>
                <w:rFonts w:asciiTheme="minorHAnsi" w:eastAsiaTheme="minorHAnsi" w:hAnsiTheme="minorHAnsi" w:cstheme="minorHAnsi"/>
              </w:rPr>
              <w:t>Menu w języku polskim</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bookmarkStart w:id="0" w:name="_GoBack" w:colFirst="1" w:colLast="1"/>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111EF1" w:rsidRDefault="00B16378" w:rsidP="00B16378">
            <w:pPr>
              <w:pStyle w:val="Nagwek3"/>
              <w:widowControl w:val="0"/>
              <w:snapToGrid w:val="0"/>
              <w:spacing w:line="276" w:lineRule="auto"/>
              <w:rPr>
                <w:rFonts w:asciiTheme="minorHAnsi" w:hAnsiTheme="minorHAnsi" w:cstheme="minorHAnsi"/>
                <w:sz w:val="22"/>
                <w:szCs w:val="22"/>
              </w:rPr>
            </w:pPr>
            <w:r w:rsidRPr="00111EF1">
              <w:rPr>
                <w:rFonts w:asciiTheme="minorHAnsi" w:eastAsiaTheme="minorHAnsi" w:hAnsiTheme="minorHAnsi" w:cstheme="minorHAnsi"/>
                <w:sz w:val="22"/>
                <w:szCs w:val="22"/>
              </w:rPr>
              <w:t>Zasilanie 230V, 50/60Hz</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B16378"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111EF1" w:rsidRDefault="00B16378" w:rsidP="00B16378">
            <w:pPr>
              <w:pStyle w:val="Nagwek3"/>
              <w:widowControl w:val="0"/>
              <w:snapToGrid w:val="0"/>
              <w:spacing w:line="276" w:lineRule="auto"/>
              <w:rPr>
                <w:rFonts w:asciiTheme="minorHAnsi" w:hAnsiTheme="minorHAnsi" w:cstheme="minorHAnsi"/>
                <w:sz w:val="22"/>
                <w:szCs w:val="22"/>
              </w:rPr>
            </w:pPr>
            <w:r w:rsidRPr="00111EF1">
              <w:rPr>
                <w:rFonts w:asciiTheme="minorHAnsi" w:eastAsiaTheme="minorHAnsi" w:hAnsiTheme="minorHAnsi" w:cstheme="minorHAnsi"/>
                <w:sz w:val="22"/>
                <w:szCs w:val="22"/>
              </w:rPr>
              <w:t>Deklaracja CE/IVD</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Nagwek6"/>
              <w:widowControl w:val="0"/>
              <w:spacing w:line="276" w:lineRule="auto"/>
              <w:rPr>
                <w:rFonts w:asciiTheme="minorHAnsi" w:hAnsiTheme="minorHAnsi" w:cstheme="minorHAnsi"/>
                <w:sz w:val="22"/>
                <w:szCs w:val="22"/>
              </w:rPr>
            </w:pPr>
          </w:p>
        </w:tc>
      </w:tr>
      <w:tr w:rsidR="00EA3692" w:rsidRPr="00B16378" w:rsidTr="00B16378">
        <w:tc>
          <w:tcPr>
            <w:tcW w:w="11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3692" w:rsidRPr="00B16378" w:rsidRDefault="00EA3692" w:rsidP="00B16378">
            <w:pPr>
              <w:pStyle w:val="Akapitzlist"/>
              <w:numPr>
                <w:ilvl w:val="0"/>
                <w:numId w:val="2"/>
              </w:numPr>
              <w:spacing w:line="276" w:lineRule="auto"/>
              <w:jc w:val="both"/>
              <w:rPr>
                <w:rFonts w:asciiTheme="minorHAnsi" w:hAnsiTheme="minorHAnsi" w:cstheme="minorHAnsi"/>
              </w:rPr>
            </w:pPr>
          </w:p>
        </w:tc>
        <w:tc>
          <w:tcPr>
            <w:tcW w:w="52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3692" w:rsidRPr="00111EF1" w:rsidRDefault="00EA3692" w:rsidP="00B16378">
            <w:pPr>
              <w:pStyle w:val="Nagwek3"/>
              <w:widowControl w:val="0"/>
              <w:snapToGrid w:val="0"/>
              <w:spacing w:line="276" w:lineRule="auto"/>
              <w:rPr>
                <w:rFonts w:asciiTheme="minorHAnsi" w:eastAsiaTheme="minorHAnsi" w:hAnsiTheme="minorHAnsi" w:cstheme="minorHAnsi"/>
                <w:sz w:val="22"/>
                <w:szCs w:val="22"/>
              </w:rPr>
            </w:pPr>
            <w:r w:rsidRPr="00111EF1">
              <w:rPr>
                <w:rFonts w:asciiTheme="minorHAnsi" w:hAnsiTheme="minorHAnsi" w:cstheme="minorHAnsi"/>
                <w:sz w:val="22"/>
                <w:szCs w:val="22"/>
              </w:rPr>
              <w:t>Instrukcja obsługi w języku polskim</w:t>
            </w:r>
          </w:p>
        </w:tc>
        <w:tc>
          <w:tcPr>
            <w:tcW w:w="27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A3692" w:rsidRPr="00B16378" w:rsidRDefault="00EA3692" w:rsidP="00B16378">
            <w:pPr>
              <w:pStyle w:val="Nagwek6"/>
              <w:widowControl w:val="0"/>
              <w:spacing w:line="276" w:lineRule="auto"/>
              <w:rPr>
                <w:rFonts w:asciiTheme="minorHAnsi" w:hAnsiTheme="minorHAnsi" w:cstheme="minorHAnsi"/>
                <w:sz w:val="22"/>
                <w:szCs w:val="22"/>
              </w:rPr>
            </w:pPr>
          </w:p>
        </w:tc>
      </w:tr>
      <w:bookmarkEnd w:id="0"/>
      <w:tr w:rsidR="00B16378" w:rsidRPr="00B16378" w:rsidTr="00815F0A">
        <w:tc>
          <w:tcPr>
            <w:tcW w:w="117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B16378" w:rsidRPr="00B16378" w:rsidRDefault="00B16378" w:rsidP="00B16378">
            <w:pPr>
              <w:pStyle w:val="Akapitzlist"/>
              <w:numPr>
                <w:ilvl w:val="0"/>
                <w:numId w:val="2"/>
              </w:numPr>
              <w:spacing w:line="276" w:lineRule="auto"/>
              <w:jc w:val="both"/>
              <w:rPr>
                <w:rFonts w:asciiTheme="minorHAnsi" w:hAnsiTheme="minorHAnsi" w:cstheme="minorHAnsi"/>
              </w:rPr>
            </w:pPr>
          </w:p>
        </w:tc>
        <w:tc>
          <w:tcPr>
            <w:tcW w:w="7957" w:type="dxa"/>
            <w:gridSpan w:val="2"/>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B16378" w:rsidRPr="00B16378" w:rsidRDefault="00B16378" w:rsidP="00B16378">
            <w:pPr>
              <w:pStyle w:val="Nagwek6"/>
              <w:widowControl w:val="0"/>
              <w:spacing w:line="276" w:lineRule="auto"/>
              <w:rPr>
                <w:rFonts w:asciiTheme="minorHAnsi" w:hAnsiTheme="minorHAnsi" w:cstheme="minorHAnsi"/>
                <w:sz w:val="22"/>
                <w:szCs w:val="22"/>
              </w:rPr>
            </w:pPr>
            <w:r w:rsidRPr="00B16378">
              <w:rPr>
                <w:rFonts w:asciiTheme="minorHAnsi" w:hAnsiTheme="minorHAnsi" w:cstheme="minorHAnsi"/>
                <w:sz w:val="22"/>
                <w:szCs w:val="22"/>
              </w:rPr>
              <w:t>Gwarancja min. 24 miesiące dla całego zestawu urządzeń</w:t>
            </w:r>
          </w:p>
        </w:tc>
      </w:tr>
    </w:tbl>
    <w:p w:rsidR="00726C4F" w:rsidRDefault="00726C4F" w:rsidP="00726C4F">
      <w:pPr>
        <w:rPr>
          <w:rFonts w:ascii="Calibri" w:hAnsi="Calibri" w:cs="Calibri"/>
        </w:rPr>
      </w:pPr>
    </w:p>
    <w:p w:rsidR="00726C4F" w:rsidRDefault="00726C4F" w:rsidP="00726C4F">
      <w:pPr>
        <w:rPr>
          <w:rFonts w:ascii="Calibri" w:hAnsi="Calibri" w:cs="Calibri"/>
        </w:rPr>
      </w:pPr>
    </w:p>
    <w:p w:rsidR="00726C4F" w:rsidRDefault="00726C4F" w:rsidP="00726C4F">
      <w:pPr>
        <w:rPr>
          <w:rFonts w:ascii="Calibri" w:hAnsi="Calibri" w:cs="Calibri"/>
          <w:color w:val="00B050"/>
        </w:rPr>
      </w:pPr>
      <w:r>
        <w:rPr>
          <w:rFonts w:ascii="Calibri" w:hAnsi="Calibri" w:cs="Calibri"/>
        </w:rPr>
        <w:t xml:space="preserve">Wykonawca zobowiązany jest do podania nazwy oferowanego urządzenia, producenta, typu/modelu /kodu producenta. Podane dane oraz uzupełniona kolumna </w:t>
      </w:r>
      <w:proofErr w:type="spellStart"/>
      <w:r>
        <w:rPr>
          <w:rFonts w:ascii="Calibri" w:hAnsi="Calibri" w:cs="Calibri"/>
        </w:rPr>
        <w:t>pn</w:t>
      </w:r>
      <w:proofErr w:type="spellEnd"/>
      <w:r>
        <w:rPr>
          <w:rFonts w:ascii="Calibri" w:hAnsi="Calibri" w:cs="Calibri"/>
        </w:rPr>
        <w:t xml:space="preserve">: Parametry oferowane muszą pozwolić Zamawiającemu na jednoznaczną identyfikację oferowanego produktu. </w:t>
      </w:r>
    </w:p>
    <w:p w:rsidR="00726C4F" w:rsidRDefault="00726C4F" w:rsidP="00726C4F">
      <w:pPr>
        <w:pStyle w:val="Akapitzlist"/>
        <w:tabs>
          <w:tab w:val="left" w:pos="426"/>
        </w:tabs>
        <w:rPr>
          <w:rFonts w:asciiTheme="minorHAnsi" w:hAnsiTheme="minorHAnsi" w:cstheme="minorHAnsi"/>
          <w:b/>
          <w:color w:val="FF0000"/>
        </w:rPr>
      </w:pPr>
    </w:p>
    <w:p w:rsidR="00726C4F" w:rsidRPr="00F230CD" w:rsidRDefault="00726C4F" w:rsidP="00726C4F">
      <w:pPr>
        <w:pStyle w:val="Akapitzlist"/>
        <w:tabs>
          <w:tab w:val="left" w:pos="426"/>
        </w:tabs>
        <w:rPr>
          <w:rFonts w:asciiTheme="minorHAnsi" w:hAnsiTheme="minorHAnsi" w:cstheme="minorHAnsi"/>
        </w:rPr>
      </w:pPr>
      <w:r w:rsidRPr="00F230CD">
        <w:rPr>
          <w:rFonts w:asciiTheme="minorHAnsi" w:hAnsiTheme="minorHAnsi" w:cstheme="minorHAnsi"/>
          <w:b/>
          <w:color w:val="FF0000"/>
        </w:rPr>
        <w:t xml:space="preserve">DOKUMENT NALEŻY PODPISAĆ KWALIFIKOWANYM PODPISEM ELEKTRONICZNYM. </w:t>
      </w:r>
    </w:p>
    <w:p w:rsidR="00726C4F" w:rsidRDefault="00726C4F" w:rsidP="00726C4F">
      <w:pPr>
        <w:rPr>
          <w:rFonts w:cs="Times New Roman"/>
        </w:rPr>
      </w:pPr>
    </w:p>
    <w:p w:rsidR="00310108" w:rsidRDefault="00310108"/>
    <w:sectPr w:rsidR="003101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79" w:rsidRDefault="00413679" w:rsidP="00413679">
      <w:r>
        <w:separator/>
      </w:r>
    </w:p>
  </w:endnote>
  <w:endnote w:type="continuationSeparator" w:id="0">
    <w:p w:rsidR="00413679" w:rsidRDefault="00413679" w:rsidP="004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142737"/>
      <w:docPartObj>
        <w:docPartGallery w:val="Page Numbers (Bottom of Page)"/>
        <w:docPartUnique/>
      </w:docPartObj>
    </w:sdtPr>
    <w:sdtEndPr>
      <w:rPr>
        <w:rFonts w:asciiTheme="minorHAnsi" w:hAnsiTheme="minorHAnsi" w:cstheme="minorHAnsi"/>
      </w:rPr>
    </w:sdtEndPr>
    <w:sdtContent>
      <w:p w:rsidR="00413679" w:rsidRPr="00413679" w:rsidRDefault="00413679">
        <w:pPr>
          <w:pStyle w:val="Stopka"/>
          <w:jc w:val="right"/>
          <w:rPr>
            <w:rFonts w:asciiTheme="minorHAnsi" w:hAnsiTheme="minorHAnsi" w:cstheme="minorHAnsi"/>
          </w:rPr>
        </w:pPr>
        <w:r w:rsidRPr="00413679">
          <w:rPr>
            <w:rFonts w:asciiTheme="minorHAnsi" w:hAnsiTheme="minorHAnsi" w:cstheme="minorHAnsi"/>
          </w:rPr>
          <w:fldChar w:fldCharType="begin"/>
        </w:r>
        <w:r w:rsidRPr="00413679">
          <w:rPr>
            <w:rFonts w:asciiTheme="minorHAnsi" w:hAnsiTheme="minorHAnsi" w:cstheme="minorHAnsi"/>
          </w:rPr>
          <w:instrText>PAGE   \* MERGEFORMAT</w:instrText>
        </w:r>
        <w:r w:rsidRPr="00413679">
          <w:rPr>
            <w:rFonts w:asciiTheme="minorHAnsi" w:hAnsiTheme="minorHAnsi" w:cstheme="minorHAnsi"/>
          </w:rPr>
          <w:fldChar w:fldCharType="separate"/>
        </w:r>
        <w:r w:rsidR="00111EF1">
          <w:rPr>
            <w:rFonts w:asciiTheme="minorHAnsi" w:hAnsiTheme="minorHAnsi" w:cstheme="minorHAnsi"/>
            <w:noProof/>
          </w:rPr>
          <w:t>3</w:t>
        </w:r>
        <w:r w:rsidRPr="00413679">
          <w:rPr>
            <w:rFonts w:asciiTheme="minorHAnsi" w:hAnsiTheme="minorHAnsi" w:cstheme="minorHAnsi"/>
          </w:rPr>
          <w:fldChar w:fldCharType="end"/>
        </w:r>
      </w:p>
    </w:sdtContent>
  </w:sdt>
  <w:p w:rsidR="00413679" w:rsidRDefault="004136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79" w:rsidRDefault="00413679" w:rsidP="00413679">
      <w:r>
        <w:separator/>
      </w:r>
    </w:p>
  </w:footnote>
  <w:footnote w:type="continuationSeparator" w:id="0">
    <w:p w:rsidR="00413679" w:rsidRDefault="00413679" w:rsidP="00413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7D86"/>
    <w:multiLevelType w:val="multilevel"/>
    <w:tmpl w:val="BF629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7DA00B0"/>
    <w:multiLevelType w:val="multilevel"/>
    <w:tmpl w:val="C1544D5A"/>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4F"/>
    <w:rsid w:val="00020E4F"/>
    <w:rsid w:val="00111EF1"/>
    <w:rsid w:val="00310108"/>
    <w:rsid w:val="00413679"/>
    <w:rsid w:val="00464349"/>
    <w:rsid w:val="0054444D"/>
    <w:rsid w:val="005A57C6"/>
    <w:rsid w:val="00682F3A"/>
    <w:rsid w:val="00684CDD"/>
    <w:rsid w:val="00704F36"/>
    <w:rsid w:val="00726C4F"/>
    <w:rsid w:val="0091623B"/>
    <w:rsid w:val="00B071B5"/>
    <w:rsid w:val="00B16378"/>
    <w:rsid w:val="00C35E11"/>
    <w:rsid w:val="00D46131"/>
    <w:rsid w:val="00EA3692"/>
    <w:rsid w:val="00EB5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C4F"/>
    <w:pPr>
      <w:widowControl w:val="0"/>
      <w:suppressAutoHyphens/>
      <w:spacing w:after="0" w:line="240" w:lineRule="auto"/>
    </w:pPr>
    <w:rPr>
      <w:rFonts w:ascii="Times New Roman" w:eastAsiaTheme="minorEastAsia" w:hAnsi="Times New Roman"/>
      <w:kern w:val="2"/>
      <w:lang w:eastAsia="pl-PL"/>
    </w:rPr>
  </w:style>
  <w:style w:type="paragraph" w:styleId="Nagwek3">
    <w:name w:val="heading 3"/>
    <w:basedOn w:val="Normalny"/>
    <w:next w:val="Normalny"/>
    <w:link w:val="Nagwek3Znak"/>
    <w:unhideWhenUsed/>
    <w:qFormat/>
    <w:rsid w:val="00B16378"/>
    <w:pPr>
      <w:keepNext/>
      <w:widowControl/>
      <w:suppressAutoHyphens w:val="0"/>
      <w:outlineLvl w:val="2"/>
    </w:pPr>
    <w:rPr>
      <w:rFonts w:eastAsia="Times New Roman" w:cs="Times New Roman"/>
      <w:kern w:val="0"/>
      <w:sz w:val="24"/>
      <w:szCs w:val="20"/>
    </w:rPr>
  </w:style>
  <w:style w:type="paragraph" w:styleId="Nagwek5">
    <w:name w:val="heading 5"/>
    <w:basedOn w:val="Normalny"/>
    <w:next w:val="Normalny"/>
    <w:link w:val="Nagwek5Znak"/>
    <w:unhideWhenUsed/>
    <w:qFormat/>
    <w:rsid w:val="00B16378"/>
    <w:pPr>
      <w:keepNext/>
      <w:widowControl/>
      <w:suppressAutoHyphens w:val="0"/>
      <w:ind w:right="-663"/>
      <w:outlineLvl w:val="4"/>
    </w:pPr>
    <w:rPr>
      <w:rFonts w:eastAsia="Times New Roman" w:cs="Times New Roman"/>
      <w:kern w:val="0"/>
      <w:sz w:val="24"/>
      <w:szCs w:val="20"/>
    </w:rPr>
  </w:style>
  <w:style w:type="paragraph" w:styleId="Nagwek6">
    <w:name w:val="heading 6"/>
    <w:basedOn w:val="Normalny"/>
    <w:next w:val="Normalny"/>
    <w:link w:val="Nagwek6Znak"/>
    <w:unhideWhenUsed/>
    <w:qFormat/>
    <w:rsid w:val="00B16378"/>
    <w:pPr>
      <w:keepNext/>
      <w:widowControl/>
      <w:suppressAutoHyphens w:val="0"/>
      <w:jc w:val="center"/>
      <w:outlineLvl w:val="5"/>
    </w:pPr>
    <w:rPr>
      <w:rFonts w:eastAsia="Times New Roman" w:cs="Times New Roman"/>
      <w:kern w:val="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rsid w:val="00726C4F"/>
    <w:pPr>
      <w:spacing w:before="280" w:after="119"/>
    </w:pPr>
  </w:style>
  <w:style w:type="paragraph" w:styleId="Akapitzlist">
    <w:name w:val="List Paragraph"/>
    <w:basedOn w:val="Normalny"/>
    <w:uiPriority w:val="34"/>
    <w:qFormat/>
    <w:rsid w:val="00726C4F"/>
    <w:pPr>
      <w:ind w:left="720"/>
    </w:pPr>
  </w:style>
  <w:style w:type="character" w:styleId="Odwoaniedokomentarza">
    <w:name w:val="annotation reference"/>
    <w:basedOn w:val="Domylnaczcionkaakapitu"/>
    <w:unhideWhenUsed/>
    <w:qFormat/>
    <w:rsid w:val="00726C4F"/>
    <w:rPr>
      <w:sz w:val="16"/>
      <w:szCs w:val="16"/>
    </w:rPr>
  </w:style>
  <w:style w:type="paragraph" w:styleId="Tekstkomentarza">
    <w:name w:val="annotation text"/>
    <w:basedOn w:val="Normalny"/>
    <w:link w:val="TekstkomentarzaZnak"/>
    <w:uiPriority w:val="99"/>
    <w:semiHidden/>
    <w:unhideWhenUsed/>
    <w:rsid w:val="00726C4F"/>
    <w:rPr>
      <w:sz w:val="20"/>
      <w:szCs w:val="20"/>
    </w:rPr>
  </w:style>
  <w:style w:type="character" w:customStyle="1" w:styleId="TekstkomentarzaZnak">
    <w:name w:val="Tekst komentarza Znak"/>
    <w:basedOn w:val="Domylnaczcionkaakapitu"/>
    <w:link w:val="Tekstkomentarza"/>
    <w:uiPriority w:val="99"/>
    <w:semiHidden/>
    <w:rsid w:val="00726C4F"/>
    <w:rPr>
      <w:rFonts w:ascii="Times New Roman" w:eastAsiaTheme="minorEastAsia" w:hAnsi="Times New Roman"/>
      <w:kern w:val="2"/>
      <w:sz w:val="20"/>
      <w:szCs w:val="20"/>
      <w:lang w:eastAsia="pl-PL"/>
    </w:rPr>
  </w:style>
  <w:style w:type="paragraph" w:styleId="Tekstdymka">
    <w:name w:val="Balloon Text"/>
    <w:basedOn w:val="Normalny"/>
    <w:link w:val="TekstdymkaZnak"/>
    <w:uiPriority w:val="99"/>
    <w:semiHidden/>
    <w:unhideWhenUsed/>
    <w:rsid w:val="00726C4F"/>
    <w:rPr>
      <w:rFonts w:ascii="Tahoma" w:hAnsi="Tahoma" w:cs="Tahoma"/>
      <w:sz w:val="16"/>
      <w:szCs w:val="16"/>
    </w:rPr>
  </w:style>
  <w:style w:type="character" w:customStyle="1" w:styleId="TekstdymkaZnak">
    <w:name w:val="Tekst dymka Znak"/>
    <w:basedOn w:val="Domylnaczcionkaakapitu"/>
    <w:link w:val="Tekstdymka"/>
    <w:uiPriority w:val="99"/>
    <w:semiHidden/>
    <w:rsid w:val="00726C4F"/>
    <w:rPr>
      <w:rFonts w:ascii="Tahoma" w:eastAsiaTheme="minorEastAsia" w:hAnsi="Tahoma" w:cs="Tahoma"/>
      <w:kern w:val="2"/>
      <w:sz w:val="16"/>
      <w:szCs w:val="16"/>
      <w:lang w:eastAsia="pl-PL"/>
    </w:rPr>
  </w:style>
  <w:style w:type="paragraph" w:styleId="Tematkomentarza">
    <w:name w:val="annotation subject"/>
    <w:basedOn w:val="Tekstkomentarza"/>
    <w:next w:val="Tekstkomentarza"/>
    <w:link w:val="TematkomentarzaZnak"/>
    <w:uiPriority w:val="99"/>
    <w:semiHidden/>
    <w:unhideWhenUsed/>
    <w:rsid w:val="00684CDD"/>
    <w:rPr>
      <w:b/>
      <w:bCs/>
    </w:rPr>
  </w:style>
  <w:style w:type="character" w:customStyle="1" w:styleId="TematkomentarzaZnak">
    <w:name w:val="Temat komentarza Znak"/>
    <w:basedOn w:val="TekstkomentarzaZnak"/>
    <w:link w:val="Tematkomentarza"/>
    <w:uiPriority w:val="99"/>
    <w:semiHidden/>
    <w:rsid w:val="00684CDD"/>
    <w:rPr>
      <w:rFonts w:ascii="Times New Roman" w:eastAsiaTheme="minorEastAsia" w:hAnsi="Times New Roman"/>
      <w:b/>
      <w:bCs/>
      <w:kern w:val="2"/>
      <w:sz w:val="20"/>
      <w:szCs w:val="20"/>
      <w:lang w:eastAsia="pl-PL"/>
    </w:rPr>
  </w:style>
  <w:style w:type="character" w:customStyle="1" w:styleId="Nagwek3Znak">
    <w:name w:val="Nagłówek 3 Znak"/>
    <w:basedOn w:val="Domylnaczcionkaakapitu"/>
    <w:link w:val="Nagwek3"/>
    <w:qFormat/>
    <w:rsid w:val="00B1637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B16378"/>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qFormat/>
    <w:rsid w:val="00B16378"/>
    <w:rPr>
      <w:rFonts w:ascii="Times New Roman" w:eastAsia="Times New Roman" w:hAnsi="Times New Roman" w:cs="Times New Roman"/>
      <w:sz w:val="24"/>
      <w:szCs w:val="20"/>
      <w:lang w:eastAsia="pl-PL"/>
    </w:rPr>
  </w:style>
  <w:style w:type="paragraph" w:styleId="Nagwek">
    <w:name w:val="header"/>
    <w:basedOn w:val="Normalny"/>
    <w:next w:val="Tekstpodstawowy"/>
    <w:link w:val="NagwekZnak"/>
    <w:uiPriority w:val="99"/>
    <w:unhideWhenUsed/>
    <w:qFormat/>
    <w:rsid w:val="00B16378"/>
  </w:style>
  <w:style w:type="character" w:customStyle="1" w:styleId="NagwekZnak">
    <w:name w:val="Nagłówek Znak"/>
    <w:basedOn w:val="Domylnaczcionkaakapitu"/>
    <w:link w:val="Nagwek"/>
    <w:uiPriority w:val="99"/>
    <w:rsid w:val="00B16378"/>
    <w:rPr>
      <w:rFonts w:ascii="Times New Roman" w:eastAsiaTheme="minorEastAsia" w:hAnsi="Times New Roman"/>
      <w:kern w:val="2"/>
      <w:lang w:eastAsia="pl-PL"/>
    </w:rPr>
  </w:style>
  <w:style w:type="paragraph" w:styleId="Tekstpodstawowy">
    <w:name w:val="Body Text"/>
    <w:basedOn w:val="Normalny"/>
    <w:link w:val="TekstpodstawowyZnak"/>
    <w:uiPriority w:val="99"/>
    <w:semiHidden/>
    <w:unhideWhenUsed/>
    <w:rsid w:val="00B16378"/>
    <w:pPr>
      <w:spacing w:after="120"/>
    </w:pPr>
  </w:style>
  <w:style w:type="character" w:customStyle="1" w:styleId="TekstpodstawowyZnak">
    <w:name w:val="Tekst podstawowy Znak"/>
    <w:basedOn w:val="Domylnaczcionkaakapitu"/>
    <w:link w:val="Tekstpodstawowy"/>
    <w:uiPriority w:val="99"/>
    <w:semiHidden/>
    <w:rsid w:val="00B16378"/>
    <w:rPr>
      <w:rFonts w:ascii="Times New Roman" w:eastAsiaTheme="minorEastAsia" w:hAnsi="Times New Roman"/>
      <w:kern w:val="2"/>
      <w:lang w:eastAsia="pl-PL"/>
    </w:rPr>
  </w:style>
  <w:style w:type="paragraph" w:styleId="Stopka">
    <w:name w:val="footer"/>
    <w:basedOn w:val="Normalny"/>
    <w:link w:val="StopkaZnak"/>
    <w:uiPriority w:val="99"/>
    <w:unhideWhenUsed/>
    <w:rsid w:val="00413679"/>
    <w:pPr>
      <w:tabs>
        <w:tab w:val="center" w:pos="4536"/>
        <w:tab w:val="right" w:pos="9072"/>
      </w:tabs>
    </w:pPr>
  </w:style>
  <w:style w:type="character" w:customStyle="1" w:styleId="StopkaZnak">
    <w:name w:val="Stopka Znak"/>
    <w:basedOn w:val="Domylnaczcionkaakapitu"/>
    <w:link w:val="Stopka"/>
    <w:uiPriority w:val="99"/>
    <w:rsid w:val="00413679"/>
    <w:rPr>
      <w:rFonts w:ascii="Times New Roman" w:eastAsiaTheme="minorEastAsia" w:hAnsi="Times New Roman"/>
      <w:kern w:val="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C4F"/>
    <w:pPr>
      <w:widowControl w:val="0"/>
      <w:suppressAutoHyphens/>
      <w:spacing w:after="0" w:line="240" w:lineRule="auto"/>
    </w:pPr>
    <w:rPr>
      <w:rFonts w:ascii="Times New Roman" w:eastAsiaTheme="minorEastAsia" w:hAnsi="Times New Roman"/>
      <w:kern w:val="2"/>
      <w:lang w:eastAsia="pl-PL"/>
    </w:rPr>
  </w:style>
  <w:style w:type="paragraph" w:styleId="Nagwek3">
    <w:name w:val="heading 3"/>
    <w:basedOn w:val="Normalny"/>
    <w:next w:val="Normalny"/>
    <w:link w:val="Nagwek3Znak"/>
    <w:unhideWhenUsed/>
    <w:qFormat/>
    <w:rsid w:val="00B16378"/>
    <w:pPr>
      <w:keepNext/>
      <w:widowControl/>
      <w:suppressAutoHyphens w:val="0"/>
      <w:outlineLvl w:val="2"/>
    </w:pPr>
    <w:rPr>
      <w:rFonts w:eastAsia="Times New Roman" w:cs="Times New Roman"/>
      <w:kern w:val="0"/>
      <w:sz w:val="24"/>
      <w:szCs w:val="20"/>
    </w:rPr>
  </w:style>
  <w:style w:type="paragraph" w:styleId="Nagwek5">
    <w:name w:val="heading 5"/>
    <w:basedOn w:val="Normalny"/>
    <w:next w:val="Normalny"/>
    <w:link w:val="Nagwek5Znak"/>
    <w:unhideWhenUsed/>
    <w:qFormat/>
    <w:rsid w:val="00B16378"/>
    <w:pPr>
      <w:keepNext/>
      <w:widowControl/>
      <w:suppressAutoHyphens w:val="0"/>
      <w:ind w:right="-663"/>
      <w:outlineLvl w:val="4"/>
    </w:pPr>
    <w:rPr>
      <w:rFonts w:eastAsia="Times New Roman" w:cs="Times New Roman"/>
      <w:kern w:val="0"/>
      <w:sz w:val="24"/>
      <w:szCs w:val="20"/>
    </w:rPr>
  </w:style>
  <w:style w:type="paragraph" w:styleId="Nagwek6">
    <w:name w:val="heading 6"/>
    <w:basedOn w:val="Normalny"/>
    <w:next w:val="Normalny"/>
    <w:link w:val="Nagwek6Znak"/>
    <w:unhideWhenUsed/>
    <w:qFormat/>
    <w:rsid w:val="00B16378"/>
    <w:pPr>
      <w:keepNext/>
      <w:widowControl/>
      <w:suppressAutoHyphens w:val="0"/>
      <w:jc w:val="center"/>
      <w:outlineLvl w:val="5"/>
    </w:pPr>
    <w:rPr>
      <w:rFonts w:eastAsia="Times New Roman" w:cs="Times New Roman"/>
      <w:kern w:val="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rsid w:val="00726C4F"/>
    <w:pPr>
      <w:spacing w:before="280" w:after="119"/>
    </w:pPr>
  </w:style>
  <w:style w:type="paragraph" w:styleId="Akapitzlist">
    <w:name w:val="List Paragraph"/>
    <w:basedOn w:val="Normalny"/>
    <w:uiPriority w:val="34"/>
    <w:qFormat/>
    <w:rsid w:val="00726C4F"/>
    <w:pPr>
      <w:ind w:left="720"/>
    </w:pPr>
  </w:style>
  <w:style w:type="character" w:styleId="Odwoaniedokomentarza">
    <w:name w:val="annotation reference"/>
    <w:basedOn w:val="Domylnaczcionkaakapitu"/>
    <w:unhideWhenUsed/>
    <w:qFormat/>
    <w:rsid w:val="00726C4F"/>
    <w:rPr>
      <w:sz w:val="16"/>
      <w:szCs w:val="16"/>
    </w:rPr>
  </w:style>
  <w:style w:type="paragraph" w:styleId="Tekstkomentarza">
    <w:name w:val="annotation text"/>
    <w:basedOn w:val="Normalny"/>
    <w:link w:val="TekstkomentarzaZnak"/>
    <w:uiPriority w:val="99"/>
    <w:semiHidden/>
    <w:unhideWhenUsed/>
    <w:rsid w:val="00726C4F"/>
    <w:rPr>
      <w:sz w:val="20"/>
      <w:szCs w:val="20"/>
    </w:rPr>
  </w:style>
  <w:style w:type="character" w:customStyle="1" w:styleId="TekstkomentarzaZnak">
    <w:name w:val="Tekst komentarza Znak"/>
    <w:basedOn w:val="Domylnaczcionkaakapitu"/>
    <w:link w:val="Tekstkomentarza"/>
    <w:uiPriority w:val="99"/>
    <w:semiHidden/>
    <w:rsid w:val="00726C4F"/>
    <w:rPr>
      <w:rFonts w:ascii="Times New Roman" w:eastAsiaTheme="minorEastAsia" w:hAnsi="Times New Roman"/>
      <w:kern w:val="2"/>
      <w:sz w:val="20"/>
      <w:szCs w:val="20"/>
      <w:lang w:eastAsia="pl-PL"/>
    </w:rPr>
  </w:style>
  <w:style w:type="paragraph" w:styleId="Tekstdymka">
    <w:name w:val="Balloon Text"/>
    <w:basedOn w:val="Normalny"/>
    <w:link w:val="TekstdymkaZnak"/>
    <w:uiPriority w:val="99"/>
    <w:semiHidden/>
    <w:unhideWhenUsed/>
    <w:rsid w:val="00726C4F"/>
    <w:rPr>
      <w:rFonts w:ascii="Tahoma" w:hAnsi="Tahoma" w:cs="Tahoma"/>
      <w:sz w:val="16"/>
      <w:szCs w:val="16"/>
    </w:rPr>
  </w:style>
  <w:style w:type="character" w:customStyle="1" w:styleId="TekstdymkaZnak">
    <w:name w:val="Tekst dymka Znak"/>
    <w:basedOn w:val="Domylnaczcionkaakapitu"/>
    <w:link w:val="Tekstdymka"/>
    <w:uiPriority w:val="99"/>
    <w:semiHidden/>
    <w:rsid w:val="00726C4F"/>
    <w:rPr>
      <w:rFonts w:ascii="Tahoma" w:eastAsiaTheme="minorEastAsia" w:hAnsi="Tahoma" w:cs="Tahoma"/>
      <w:kern w:val="2"/>
      <w:sz w:val="16"/>
      <w:szCs w:val="16"/>
      <w:lang w:eastAsia="pl-PL"/>
    </w:rPr>
  </w:style>
  <w:style w:type="paragraph" w:styleId="Tematkomentarza">
    <w:name w:val="annotation subject"/>
    <w:basedOn w:val="Tekstkomentarza"/>
    <w:next w:val="Tekstkomentarza"/>
    <w:link w:val="TematkomentarzaZnak"/>
    <w:uiPriority w:val="99"/>
    <w:semiHidden/>
    <w:unhideWhenUsed/>
    <w:rsid w:val="00684CDD"/>
    <w:rPr>
      <w:b/>
      <w:bCs/>
    </w:rPr>
  </w:style>
  <w:style w:type="character" w:customStyle="1" w:styleId="TematkomentarzaZnak">
    <w:name w:val="Temat komentarza Znak"/>
    <w:basedOn w:val="TekstkomentarzaZnak"/>
    <w:link w:val="Tematkomentarza"/>
    <w:uiPriority w:val="99"/>
    <w:semiHidden/>
    <w:rsid w:val="00684CDD"/>
    <w:rPr>
      <w:rFonts w:ascii="Times New Roman" w:eastAsiaTheme="minorEastAsia" w:hAnsi="Times New Roman"/>
      <w:b/>
      <w:bCs/>
      <w:kern w:val="2"/>
      <w:sz w:val="20"/>
      <w:szCs w:val="20"/>
      <w:lang w:eastAsia="pl-PL"/>
    </w:rPr>
  </w:style>
  <w:style w:type="character" w:customStyle="1" w:styleId="Nagwek3Znak">
    <w:name w:val="Nagłówek 3 Znak"/>
    <w:basedOn w:val="Domylnaczcionkaakapitu"/>
    <w:link w:val="Nagwek3"/>
    <w:qFormat/>
    <w:rsid w:val="00B1637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B16378"/>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qFormat/>
    <w:rsid w:val="00B16378"/>
    <w:rPr>
      <w:rFonts w:ascii="Times New Roman" w:eastAsia="Times New Roman" w:hAnsi="Times New Roman" w:cs="Times New Roman"/>
      <w:sz w:val="24"/>
      <w:szCs w:val="20"/>
      <w:lang w:eastAsia="pl-PL"/>
    </w:rPr>
  </w:style>
  <w:style w:type="paragraph" w:styleId="Nagwek">
    <w:name w:val="header"/>
    <w:basedOn w:val="Normalny"/>
    <w:next w:val="Tekstpodstawowy"/>
    <w:link w:val="NagwekZnak"/>
    <w:uiPriority w:val="99"/>
    <w:unhideWhenUsed/>
    <w:qFormat/>
    <w:rsid w:val="00B16378"/>
  </w:style>
  <w:style w:type="character" w:customStyle="1" w:styleId="NagwekZnak">
    <w:name w:val="Nagłówek Znak"/>
    <w:basedOn w:val="Domylnaczcionkaakapitu"/>
    <w:link w:val="Nagwek"/>
    <w:uiPriority w:val="99"/>
    <w:rsid w:val="00B16378"/>
    <w:rPr>
      <w:rFonts w:ascii="Times New Roman" w:eastAsiaTheme="minorEastAsia" w:hAnsi="Times New Roman"/>
      <w:kern w:val="2"/>
      <w:lang w:eastAsia="pl-PL"/>
    </w:rPr>
  </w:style>
  <w:style w:type="paragraph" w:styleId="Tekstpodstawowy">
    <w:name w:val="Body Text"/>
    <w:basedOn w:val="Normalny"/>
    <w:link w:val="TekstpodstawowyZnak"/>
    <w:uiPriority w:val="99"/>
    <w:semiHidden/>
    <w:unhideWhenUsed/>
    <w:rsid w:val="00B16378"/>
    <w:pPr>
      <w:spacing w:after="120"/>
    </w:pPr>
  </w:style>
  <w:style w:type="character" w:customStyle="1" w:styleId="TekstpodstawowyZnak">
    <w:name w:val="Tekst podstawowy Znak"/>
    <w:basedOn w:val="Domylnaczcionkaakapitu"/>
    <w:link w:val="Tekstpodstawowy"/>
    <w:uiPriority w:val="99"/>
    <w:semiHidden/>
    <w:rsid w:val="00B16378"/>
    <w:rPr>
      <w:rFonts w:ascii="Times New Roman" w:eastAsiaTheme="minorEastAsia" w:hAnsi="Times New Roman"/>
      <w:kern w:val="2"/>
      <w:lang w:eastAsia="pl-PL"/>
    </w:rPr>
  </w:style>
  <w:style w:type="paragraph" w:styleId="Stopka">
    <w:name w:val="footer"/>
    <w:basedOn w:val="Normalny"/>
    <w:link w:val="StopkaZnak"/>
    <w:uiPriority w:val="99"/>
    <w:unhideWhenUsed/>
    <w:rsid w:val="00413679"/>
    <w:pPr>
      <w:tabs>
        <w:tab w:val="center" w:pos="4536"/>
        <w:tab w:val="right" w:pos="9072"/>
      </w:tabs>
    </w:pPr>
  </w:style>
  <w:style w:type="character" w:customStyle="1" w:styleId="StopkaZnak">
    <w:name w:val="Stopka Znak"/>
    <w:basedOn w:val="Domylnaczcionkaakapitu"/>
    <w:link w:val="Stopka"/>
    <w:uiPriority w:val="99"/>
    <w:rsid w:val="00413679"/>
    <w:rPr>
      <w:rFonts w:ascii="Times New Roman" w:eastAsiaTheme="minorEastAsia" w:hAnsi="Times New Roman"/>
      <w:kern w:val="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7008">
      <w:bodyDiv w:val="1"/>
      <w:marLeft w:val="0"/>
      <w:marRight w:val="0"/>
      <w:marTop w:val="0"/>
      <w:marBottom w:val="0"/>
      <w:divBdr>
        <w:top w:val="none" w:sz="0" w:space="0" w:color="auto"/>
        <w:left w:val="none" w:sz="0" w:space="0" w:color="auto"/>
        <w:bottom w:val="none" w:sz="0" w:space="0" w:color="auto"/>
        <w:right w:val="none" w:sz="0" w:space="0" w:color="auto"/>
      </w:divBdr>
    </w:div>
    <w:div w:id="18065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Kiszka</dc:creator>
  <cp:lastModifiedBy>Agnieszka Kiszka</cp:lastModifiedBy>
  <cp:revision>10</cp:revision>
  <dcterms:created xsi:type="dcterms:W3CDTF">2023-07-10T09:01:00Z</dcterms:created>
  <dcterms:modified xsi:type="dcterms:W3CDTF">2023-07-12T08:18:00Z</dcterms:modified>
</cp:coreProperties>
</file>