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F9A" w14:textId="04CA107F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9E1EA6" w:rsidRPr="009E1EA6">
        <w:rPr>
          <w:rFonts w:asciiTheme="minorHAnsi" w:hAnsiTheme="minorHAnsi" w:cstheme="minorHAnsi"/>
          <w:b/>
          <w:bCs/>
          <w:sz w:val="22"/>
          <w:szCs w:val="22"/>
        </w:rPr>
        <w:t>komor</w:t>
      </w:r>
      <w:r w:rsidR="009E1EA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E1EA6" w:rsidRPr="009E1EA6">
        <w:rPr>
          <w:rFonts w:asciiTheme="minorHAnsi" w:hAnsiTheme="minorHAnsi" w:cstheme="minorHAnsi"/>
          <w:b/>
          <w:bCs/>
          <w:sz w:val="22"/>
          <w:szCs w:val="22"/>
        </w:rPr>
        <w:t xml:space="preserve"> laminarn</w:t>
      </w:r>
      <w:r w:rsidR="009E1EA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E1EA6" w:rsidRPr="009E1EA6">
        <w:rPr>
          <w:rFonts w:asciiTheme="minorHAnsi" w:hAnsiTheme="minorHAnsi" w:cstheme="minorHAnsi"/>
          <w:b/>
          <w:bCs/>
          <w:sz w:val="22"/>
          <w:szCs w:val="22"/>
        </w:rPr>
        <w:t xml:space="preserve"> II klasy bezpieczeństwa o szerokości blatu roboczego 90cm BIOHAZARD </w:t>
      </w:r>
      <w:r w:rsidR="003F622F" w:rsidRPr="00352ECE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 w:rsidRP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228EA1A8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6798"/>
        <w:gridCol w:w="6798"/>
      </w:tblGrid>
      <w:tr w:rsidR="00FC34F4" w:rsidRPr="00CB152B" w14:paraId="032698E6" w14:textId="4B519368" w:rsidTr="00FC34F4">
        <w:trPr>
          <w:trHeight w:val="84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FC34F4" w:rsidRPr="00CB152B" w:rsidRDefault="00FC34F4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FC34F4" w:rsidRPr="00CB152B" w:rsidRDefault="00FC34F4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F48" w14:textId="2F33B664" w:rsidR="00FC34F4" w:rsidRPr="00CB152B" w:rsidRDefault="00FC34F4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9E1EA6" w:rsidRPr="00CB152B" w14:paraId="30AF1F26" w14:textId="1FD310E1" w:rsidTr="009E1EA6">
        <w:trPr>
          <w:trHeight w:val="29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924BFA9" w:rsidR="009E1EA6" w:rsidRPr="009E1EA6" w:rsidRDefault="009E1EA6" w:rsidP="009E1EA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1FF" w14:textId="0FF8F788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>Komora z pionowym przepływem powietrza, II klasy  bezpieczeństwa mikrobiologicznego, BIOHAZARD przeznaczona  do ochrony produktu, operatora, środowiska.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3E6F" w14:textId="77777777" w:rsidR="009E1EA6" w:rsidRPr="00352ECE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EA6" w:rsidRPr="00CB152B" w14:paraId="10E0DEA6" w14:textId="08C1B445" w:rsidTr="009E1EA6">
        <w:trPr>
          <w:trHeight w:val="28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9E1EA6" w:rsidRPr="009E1EA6" w:rsidRDefault="009E1EA6" w:rsidP="009E1EA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0047EB0E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 xml:space="preserve">Dwa filtry HEPA ( główny i wylotowy ) o skuteczności 99,995% dla cząsteczek ≥ 0,3um.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E5C" w14:textId="77777777" w:rsidR="009E1EA6" w:rsidRPr="00352ECE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EA6" w:rsidRPr="009E1EA6" w14:paraId="5F667C5C" w14:textId="5F9A5084" w:rsidTr="009E1EA6">
        <w:trPr>
          <w:trHeight w:val="26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9E1EA6" w:rsidRPr="009E1EA6" w:rsidRDefault="009E1EA6" w:rsidP="009E1EA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46F7CE0A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>Komora wyposażona w dwa wentylatory: jeden obsługujący filtr główny i drugi obsługujący filtr wylotowy. Filtr główny pochylony względem poziomu (pod kątem prostym do szyby frontowej).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37A" w14:textId="77777777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EA6" w:rsidRPr="00CB152B" w14:paraId="0BEBD601" w14:textId="680D3C7E" w:rsidTr="009E1EA6">
        <w:trPr>
          <w:trHeight w:val="27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9E1EA6" w:rsidRPr="009E1EA6" w:rsidRDefault="009E1EA6" w:rsidP="009E1EA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6D858E63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>Wymiary: szerokość zewnętrzna maksymalnie do 100cm ; głębokość obszaru pracy nie mniejsza niż 63cm w tym blat bez perforacji o głębokości minimum 47cm ; szerokość robocza nie mniejsza jak 90cm ; wysokość robocza nie mniejsza niż 77cm ; głębokość zewnętrzna do 80cm 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D75" w14:textId="77777777" w:rsidR="009E1EA6" w:rsidRPr="00352ECE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EA6" w:rsidRPr="00CB152B" w14:paraId="64DF9156" w14:textId="6DF7F97B" w:rsidTr="009E1EA6">
        <w:trPr>
          <w:trHeight w:val="33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9E1EA6" w:rsidRPr="009E1EA6" w:rsidRDefault="009E1EA6" w:rsidP="009E1EA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1C64E4E0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 xml:space="preserve">Boki komory bezpieczne, pełne ( nie przeszklone), malowane farbami epoksydowymi.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FA7" w14:textId="77777777" w:rsidR="009E1EA6" w:rsidRPr="00352ECE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EA6" w:rsidRPr="00CB152B" w14:paraId="70E586E3" w14:textId="15EFDA2E" w:rsidTr="009E1EA6">
        <w:trPr>
          <w:trHeight w:val="29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9E1EA6" w:rsidRPr="009E1EA6" w:rsidRDefault="009E1EA6" w:rsidP="009E1EA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3E797F87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>Narożniki komory zaoblone ułatwiające utrzymanie urządzenia w czystości.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DA99" w14:textId="77777777" w:rsidR="009E1EA6" w:rsidRPr="00352ECE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EA6" w:rsidRPr="00CB152B" w14:paraId="338B1BB8" w14:textId="57D44AF1" w:rsidTr="009E1EA6">
        <w:trPr>
          <w:trHeight w:val="26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9E1EA6" w:rsidRPr="009E1EA6" w:rsidRDefault="009E1EA6" w:rsidP="009E1EA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61D6B950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 xml:space="preserve">Blat roboczy ze stali nierdzewnej, dzielony (panelowy). Otwory w tylnej części blatu umiejscowione poza przestrzenią roboczą na ścianie tylnej tuż nad blatem. Wnętrze obszaru pracy malowane białymi, </w:t>
            </w:r>
            <w:proofErr w:type="spellStart"/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>nieodblaskowymi</w:t>
            </w:r>
            <w:proofErr w:type="spellEnd"/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 xml:space="preserve"> farbami epoksydowo-poliestrowymi.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DB3" w14:textId="77777777" w:rsidR="009E1EA6" w:rsidRPr="00352ECE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EA6" w:rsidRPr="00CB152B" w14:paraId="392A2DD7" w14:textId="12B38182" w:rsidTr="009E1EA6">
        <w:trPr>
          <w:trHeight w:val="31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9E1EA6" w:rsidRPr="009E1EA6" w:rsidRDefault="009E1EA6" w:rsidP="009E1EA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04F12E64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 xml:space="preserve">Szyba frontowa: </w:t>
            </w:r>
            <w:r w:rsidRPr="009E1EA6">
              <w:rPr>
                <w:rStyle w:val="Pogrubienie"/>
                <w:rFonts w:asciiTheme="minorHAnsi" w:hAnsiTheme="minorHAnsi" w:cstheme="minorHAnsi"/>
                <w:b w:val="0"/>
                <w:spacing w:val="-4"/>
                <w:sz w:val="20"/>
              </w:rPr>
              <w:t>ustawiona pod kątem/skośnie (80</w:t>
            </w:r>
            <w:r w:rsidRPr="009E1EA6">
              <w:rPr>
                <w:rStyle w:val="Pogrubienie"/>
                <w:rFonts w:asciiTheme="minorHAnsi" w:hAnsiTheme="minorHAnsi" w:cstheme="minorHAnsi"/>
                <w:b w:val="0"/>
                <w:spacing w:val="-4"/>
                <w:sz w:val="20"/>
                <w:vertAlign w:val="superscript"/>
              </w:rPr>
              <w:t>o</w:t>
            </w:r>
            <w:r w:rsidRPr="009E1EA6">
              <w:rPr>
                <w:rStyle w:val="Pogrubienie"/>
                <w:rFonts w:asciiTheme="minorHAnsi" w:hAnsiTheme="minorHAnsi" w:cstheme="minorHAnsi"/>
                <w:b w:val="0"/>
                <w:spacing w:val="-4"/>
                <w:sz w:val="20"/>
              </w:rPr>
              <w:t>) w stosunku do blatu roboczego ;</w:t>
            </w: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 xml:space="preserve"> nie przepuszczalna dla promieniowania UV ; </w:t>
            </w:r>
            <w:r w:rsidRPr="009E1EA6">
              <w:rPr>
                <w:rFonts w:asciiTheme="minorHAnsi" w:hAnsiTheme="minorHAnsi" w:cstheme="minorHAnsi"/>
                <w:sz w:val="20"/>
              </w:rPr>
              <w:t>umożliwiająca całkowite zamknięcie komory od frontu oraz otworzenie komory roboczej ponad górną krawędzią szyby; przesuwana ręcznie w kierunku góra-dół; funkcja umożliwiająca czyszczenie wewnętrznej części szyby frontowej poprzez włożenie ręki do komory roboczej ponad górną krawędzią opuszczonej w prowadnicach szyby frontowej, bez konieczności odchylania jej od położenia roboczego (bez zmiany jej nachylania względem blatu)</w:t>
            </w: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>; uszczelniona w pozycji całkowitego opuszczenia.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257" w14:textId="77777777" w:rsidR="009E1EA6" w:rsidRPr="00352ECE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EA6" w:rsidRPr="00CB152B" w14:paraId="1F107810" w14:textId="71D6ECC4" w:rsidTr="009E1EA6">
        <w:trPr>
          <w:trHeight w:val="25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5E28D797" w:rsidR="009E1EA6" w:rsidRPr="009E1EA6" w:rsidRDefault="0024140B" w:rsidP="009E1EA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  <w:r w:rsidR="009E1EA6"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3E8F19A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>Panel sterowniczy umieszczony na frontowej części komory kontrolujący wszystkie funkcje komory. Wszystkie funkcje komory uruchamiane za pomocą niezależnych przycisków membranowych opatrzonych charakterystycznymi piktogramami.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F86" w14:textId="77777777" w:rsidR="009E1EA6" w:rsidRPr="00352ECE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EA6" w:rsidRPr="00CB152B" w14:paraId="297A39DC" w14:textId="769F1390" w:rsidTr="009E1EA6">
        <w:trPr>
          <w:trHeight w:val="32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399957D6" w:rsidR="009E1EA6" w:rsidRPr="009E1EA6" w:rsidRDefault="009E1EA6" w:rsidP="009E1EA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2414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75EDB190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>Sterowanie mikroprocesorowe - kontrola prędkości  przepływu powietrza z aktualnie wyświetlaną na panelu kontrolnym komory wartością w  m/s  oraz sygnalizacją alarmową w przypadku nieprawidłowości.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C61" w14:textId="77777777" w:rsidR="009E1EA6" w:rsidRPr="00352ECE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EA6" w:rsidRPr="00CB152B" w14:paraId="3C0E0E2A" w14:textId="073FE61D" w:rsidTr="009E1EA6">
        <w:trPr>
          <w:trHeight w:val="32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7B9263D5" w:rsidR="009E1EA6" w:rsidRPr="009E1EA6" w:rsidRDefault="009E1EA6" w:rsidP="009E1EA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2414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372CA25C" w:rsidR="009E1EA6" w:rsidRPr="009E1EA6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spacing w:val="-4"/>
                <w:sz w:val="20"/>
              </w:rPr>
              <w:t>Obecna funkcja wyświetlania na panelu sterowniczym liczby godzin pracy komory oraz lampy UV.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121" w14:textId="77777777" w:rsidR="009E1EA6" w:rsidRPr="00352ECE" w:rsidRDefault="009E1EA6" w:rsidP="009E1E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40B" w:rsidRPr="00CB152B" w14:paraId="22D68F83" w14:textId="1B9BE859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1D236B72" w:rsidR="0024140B" w:rsidRPr="009E1EA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001335C4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 xml:space="preserve">Oświetlenie obszaru pracy- intensywność co najmniej 1100 </w:t>
            </w:r>
            <w:proofErr w:type="spellStart"/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>lux</w:t>
            </w:r>
            <w:proofErr w:type="spellEnd"/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F1B" w14:textId="77777777" w:rsidR="0024140B" w:rsidRPr="00B04D68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0FD93F8E" w14:textId="4D250BED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24B9" w14:textId="3DA0FA70" w:rsidR="0024140B" w:rsidRPr="009E1EA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4EB" w14:textId="7F541743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>Przynajmniej dwa gniazda elektryczne umieszczone na tylnej ścianie komory.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2F9" w14:textId="77777777" w:rsidR="0024140B" w:rsidRPr="00B04D68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2759A071" w14:textId="6057E151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02C3" w14:textId="1DB62768" w:rsidR="0024140B" w:rsidRPr="009E1EA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BA66" w14:textId="13D82470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>Komora wyposażona w</w:t>
            </w:r>
            <w:r w:rsidRPr="0024140B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>fabrycznie przygotowane otwory do zamontowania zaworów mediów umieszczone na obu bokach komory (co najmniej po dwa otwory).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A90" w14:textId="77777777" w:rsidR="0024140B" w:rsidRPr="00B04D68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0C16AE4F" w14:textId="03540653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30F3" w14:textId="107888D7" w:rsidR="0024140B" w:rsidRPr="009E1EA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A535" w14:textId="59344486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>Informacja o włączonej lampie UV poprzez dodatkową sygnalizację ( świecące diody ) na panelu sterowniczym w celu podniesienia bezpieczeństwa używania wymienionych akcesoriów.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453" w14:textId="77777777" w:rsidR="0024140B" w:rsidRPr="00B04D68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41CA328A" w14:textId="2B645B58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FA76" w14:textId="0883CB41" w:rsidR="0024140B" w:rsidRPr="009E1EA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707" w14:textId="35B1399A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>Komora wyposażona w przesuwane podpory pod ręce zapobiegające zasłonięciu otworów wlotowych powietrza oraz zajęcie optymalnej pozycji podczas pracy.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FDB" w14:textId="77777777" w:rsidR="0024140B" w:rsidRPr="00B04D68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79D318DC" w14:textId="623D1C1F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C664" w14:textId="36A1C7B0" w:rsidR="0024140B" w:rsidRPr="009E1EA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9E1E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9E2F" w14:textId="50B540CE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>Komora wyposażona w funkcję stand-by, czyli tryb oczekiwania na pracę z filtracją HEPA, utrzymujący komorę w ciągłej gotowości do pracy przy jednoczesnym ograniczeniu zużycia energii. Funkcja uruchamiana zarówno z  przycisku umieszczonego na panelu sterującym jak i automatycznie po całkowitym opuszczeniu szyby frontowej.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2D2" w14:textId="77777777" w:rsidR="0024140B" w:rsidRPr="00B04D68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29804047" w14:textId="2DE21F88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A775" w14:textId="3BBE2DA7" w:rsidR="0024140B" w:rsidRPr="00C63F5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F789" w14:textId="000890A9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>Automatyczna kompensacja prędkości przepływu w miarę wzrostu zapchania filtrów.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5B4" w14:textId="77777777" w:rsidR="0024140B" w:rsidRPr="00C63F56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490545CE" w14:textId="752233CA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F98E" w14:textId="63FF989B" w:rsidR="0024140B" w:rsidRPr="00C63F5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7109" w14:textId="63AF746B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>Lampa UV w górnej przedniej części komory z programatorem czasu pracy i blokowaniem wszystkich pozostałych funkcji komory podczas jej pracy.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0F0" w14:textId="77777777" w:rsidR="0024140B" w:rsidRPr="00C63F56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0DD1A9EA" w14:textId="6E02A37D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F638" w14:textId="51B5687F" w:rsidR="0024140B" w:rsidRPr="00C63F5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B82" w14:textId="1BBCF612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 xml:space="preserve">Podstawa do komory, stelaż o regulowanej wysokości przynajmniej w zakresie od 75 do 95 cm, regulacja przynajmniej co 5 cm. </w:t>
            </w:r>
            <w:r w:rsidRPr="0024140B">
              <w:rPr>
                <w:rFonts w:asciiTheme="minorHAnsi" w:eastAsia="Arial" w:hAnsiTheme="minorHAnsi" w:cstheme="minorHAnsi"/>
                <w:b/>
                <w:color w:val="000000"/>
                <w:spacing w:val="-4"/>
                <w:sz w:val="20"/>
                <w:u w:val="single"/>
              </w:rPr>
              <w:t>Podstawa musi posiadać zwiększoną odporność na korozję, co należy potwierdzić dołączonym do oferty dokumentem</w:t>
            </w:r>
            <w:r w:rsidRPr="0024140B">
              <w:rPr>
                <w:rFonts w:asciiTheme="minorHAnsi" w:eastAsia="Arial" w:hAnsiTheme="minorHAnsi" w:cstheme="minorHAnsi"/>
                <w:color w:val="000000"/>
                <w:spacing w:val="-4"/>
                <w:sz w:val="20"/>
              </w:rPr>
              <w:t xml:space="preserve"> wystawionym przez niezależne laboratorium akredytowane, potwierdzającym wykonanie badań zgodnie z normą PN-EN ISO 9227:2012 i PN-EN ISO 10289:2002.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E067" w14:textId="77777777" w:rsidR="0024140B" w:rsidRPr="00C63F56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3AC9D95D" w14:textId="45145F44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ADC" w14:textId="0BFF6CBC" w:rsidR="0024140B" w:rsidRPr="00C63F5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87C" w14:textId="0DC727FB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>Poziom głośności nie większy niż 55dB.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740" w14:textId="77777777" w:rsidR="0024140B" w:rsidRPr="00C63F56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681A6DD4" w14:textId="753E4648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9E3" w14:textId="7777CD7B" w:rsidR="0024140B" w:rsidRPr="00C63F5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73D" w14:textId="651443F9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z w:val="20"/>
              </w:rPr>
              <w:t xml:space="preserve">Zużycie energii nie większe niż 150 W i nie większe niż 40 W </w:t>
            </w:r>
            <w:proofErr w:type="spellStart"/>
            <w:r w:rsidRPr="0024140B">
              <w:rPr>
                <w:rFonts w:asciiTheme="minorHAnsi" w:hAnsiTheme="minorHAnsi" w:cstheme="minorHAnsi"/>
                <w:sz w:val="20"/>
              </w:rPr>
              <w:t>w</w:t>
            </w:r>
            <w:proofErr w:type="spellEnd"/>
            <w:r w:rsidRPr="0024140B">
              <w:rPr>
                <w:rFonts w:asciiTheme="minorHAnsi" w:hAnsiTheme="minorHAnsi" w:cstheme="minorHAnsi"/>
                <w:sz w:val="20"/>
              </w:rPr>
              <w:t xml:space="preserve"> trybie stand-by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F2E" w14:textId="77777777" w:rsidR="0024140B" w:rsidRPr="00C63F56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587D9082" w14:textId="2DB13B08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EED" w14:textId="767C542E" w:rsidR="0024140B" w:rsidRPr="00C63F5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B8BA" w14:textId="3F1524F6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sz w:val="20"/>
              </w:rPr>
              <w:t>Zasilanie 230V/50-60Hz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3EC" w14:textId="77777777" w:rsidR="0024140B" w:rsidRPr="00C63F56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286F70A9" w14:textId="307854DB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8C4" w14:textId="7571D862" w:rsidR="0024140B" w:rsidRPr="00C63F5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835D" w14:textId="5C0B66F8" w:rsidR="0024140B" w:rsidRPr="0024140B" w:rsidRDefault="0024140B" w:rsidP="002414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0B">
              <w:rPr>
                <w:rFonts w:asciiTheme="minorHAnsi" w:hAnsiTheme="minorHAnsi" w:cstheme="minorHAnsi"/>
                <w:b/>
                <w:spacing w:val="-4"/>
                <w:sz w:val="20"/>
                <w:u w:val="single"/>
              </w:rPr>
              <w:t>Komora musi posiadać i należy dołączyć jego kopię do oferty,</w:t>
            </w: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t xml:space="preserve"> ważny certyfikat bezpieczeństwa mikrobiologicznego typu EN12469:2000  wydany przez upoważnioną do tego jednostkę certyfikującą (nie będą uznane oświadczenia lub deklaracje </w:t>
            </w:r>
            <w:r w:rsidRPr="0024140B">
              <w:rPr>
                <w:rFonts w:asciiTheme="minorHAnsi" w:hAnsiTheme="minorHAnsi" w:cstheme="minorHAnsi"/>
                <w:spacing w:val="-4"/>
                <w:sz w:val="20"/>
              </w:rPr>
              <w:lastRenderedPageBreak/>
              <w:t>producenta lub oferenta, że urządzenie spełnia lub jest zgodne z normą EN12469:2000).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1F97" w14:textId="77777777" w:rsidR="0024140B" w:rsidRPr="00C63F56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72930218" w14:textId="5D2DBDCF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27FE" w14:textId="0C88AAA5" w:rsidR="0024140B" w:rsidRPr="00C63F56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7D9" w14:textId="1F420E75" w:rsidR="0024140B" w:rsidRPr="0024140B" w:rsidRDefault="0024140B" w:rsidP="0024140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4140B">
              <w:rPr>
                <w:rFonts w:asciiTheme="minorHAnsi" w:hAnsiTheme="minorHAnsi" w:cstheme="minorHAnsi"/>
                <w:b/>
                <w:spacing w:val="-4"/>
                <w:sz w:val="20"/>
                <w:u w:val="single"/>
              </w:rPr>
              <w:t>Komora musi posiadać deklaracje zgodności CE - kopię dokumentu należy dołączyć do oferty.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81D" w14:textId="77777777" w:rsidR="0024140B" w:rsidRPr="00C63F56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140B" w:rsidRPr="00D5198C" w14:paraId="3A27E48E" w14:textId="77777777" w:rsidTr="0024140B">
        <w:trPr>
          <w:trHeight w:val="3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0A" w14:textId="7005D14C" w:rsidR="0024140B" w:rsidRDefault="0024140B" w:rsidP="0024140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693" w14:textId="0AAFCFB9" w:rsidR="0024140B" w:rsidRPr="0024140B" w:rsidRDefault="0024140B" w:rsidP="0024140B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140B">
              <w:rPr>
                <w:rFonts w:asciiTheme="minorHAnsi" w:hAnsiTheme="minorHAnsi" w:cstheme="minorHAnsi"/>
                <w:b/>
                <w:spacing w:val="-4"/>
                <w:sz w:val="20"/>
                <w:u w:val="single"/>
              </w:rPr>
              <w:t>Bezwzględnie wymaga się dołączenia do oferty kopii dokumentu wystawionego przez producenta urządzenia potwierdzającego autoryzację dystrybucji i serwisu dla Wykonawcy, jeśli nie jest on producentem.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0EAD" w14:textId="77777777" w:rsidR="0024140B" w:rsidRPr="00C63F56" w:rsidRDefault="0024140B" w:rsidP="002414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A20323" w14:textId="59A0B11F" w:rsidR="00A530BD" w:rsidRPr="00CB152B" w:rsidRDefault="00A530BD" w:rsidP="0080449D">
      <w:pPr>
        <w:suppressAutoHyphens/>
        <w:rPr>
          <w:rFonts w:asciiTheme="minorHAnsi" w:hAnsiTheme="minorHAnsi" w:cstheme="minorHAnsi"/>
        </w:rPr>
      </w:pPr>
      <w:bookmarkStart w:id="0" w:name="_GoBack"/>
      <w:bookmarkEnd w:id="0"/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B0389D" w:rsidRDefault="00B0389D" w:rsidP="00DF1622">
      <w:r>
        <w:separator/>
      </w:r>
    </w:p>
  </w:endnote>
  <w:endnote w:type="continuationSeparator" w:id="0">
    <w:p w14:paraId="0ACC03BB" w14:textId="77777777" w:rsidR="00B0389D" w:rsidRDefault="00B0389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B0389D" w:rsidRDefault="00B0389D" w:rsidP="00DF1622">
      <w:r>
        <w:separator/>
      </w:r>
    </w:p>
  </w:footnote>
  <w:footnote w:type="continuationSeparator" w:id="0">
    <w:p w14:paraId="34DCCB99" w14:textId="77777777" w:rsidR="00B0389D" w:rsidRDefault="00B0389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B74A8"/>
    <w:multiLevelType w:val="hybridMultilevel"/>
    <w:tmpl w:val="E9E0DBCC"/>
    <w:lvl w:ilvl="0" w:tplc="9D1E1AAC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A1383"/>
    <w:multiLevelType w:val="hybridMultilevel"/>
    <w:tmpl w:val="1430E47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5348AC"/>
    <w:multiLevelType w:val="hybridMultilevel"/>
    <w:tmpl w:val="5FBAE90E"/>
    <w:lvl w:ilvl="0" w:tplc="DAE290FC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B43"/>
    <w:multiLevelType w:val="hybridMultilevel"/>
    <w:tmpl w:val="0ADCD8C0"/>
    <w:lvl w:ilvl="0" w:tplc="B358BA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CF6760"/>
    <w:multiLevelType w:val="hybridMultilevel"/>
    <w:tmpl w:val="56D6D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C2F49"/>
    <w:multiLevelType w:val="hybridMultilevel"/>
    <w:tmpl w:val="9FFAC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F43450"/>
    <w:multiLevelType w:val="hybridMultilevel"/>
    <w:tmpl w:val="3C7001F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83BB4"/>
    <w:multiLevelType w:val="hybridMultilevel"/>
    <w:tmpl w:val="D7B6D8A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40"/>
  </w:num>
  <w:num w:numId="4">
    <w:abstractNumId w:val="21"/>
  </w:num>
  <w:num w:numId="5">
    <w:abstractNumId w:val="0"/>
  </w:num>
  <w:num w:numId="6">
    <w:abstractNumId w:val="6"/>
  </w:num>
  <w:num w:numId="7">
    <w:abstractNumId w:val="39"/>
  </w:num>
  <w:num w:numId="8">
    <w:abstractNumId w:val="38"/>
  </w:num>
  <w:num w:numId="9">
    <w:abstractNumId w:val="10"/>
  </w:num>
  <w:num w:numId="10">
    <w:abstractNumId w:val="19"/>
  </w:num>
  <w:num w:numId="11">
    <w:abstractNumId w:val="33"/>
  </w:num>
  <w:num w:numId="12">
    <w:abstractNumId w:val="25"/>
  </w:num>
  <w:num w:numId="13">
    <w:abstractNumId w:val="13"/>
  </w:num>
  <w:num w:numId="14">
    <w:abstractNumId w:val="11"/>
  </w:num>
  <w:num w:numId="15">
    <w:abstractNumId w:val="35"/>
  </w:num>
  <w:num w:numId="16">
    <w:abstractNumId w:val="4"/>
  </w:num>
  <w:num w:numId="17">
    <w:abstractNumId w:val="2"/>
  </w:num>
  <w:num w:numId="18">
    <w:abstractNumId w:val="8"/>
  </w:num>
  <w:num w:numId="19">
    <w:abstractNumId w:val="30"/>
  </w:num>
  <w:num w:numId="20">
    <w:abstractNumId w:val="34"/>
  </w:num>
  <w:num w:numId="21">
    <w:abstractNumId w:val="12"/>
  </w:num>
  <w:num w:numId="22">
    <w:abstractNumId w:val="16"/>
  </w:num>
  <w:num w:numId="23">
    <w:abstractNumId w:val="37"/>
  </w:num>
  <w:num w:numId="24">
    <w:abstractNumId w:val="29"/>
  </w:num>
  <w:num w:numId="25">
    <w:abstractNumId w:val="1"/>
  </w:num>
  <w:num w:numId="26">
    <w:abstractNumId w:val="7"/>
  </w:num>
  <w:num w:numId="27">
    <w:abstractNumId w:val="17"/>
  </w:num>
  <w:num w:numId="28">
    <w:abstractNumId w:val="26"/>
  </w:num>
  <w:num w:numId="29">
    <w:abstractNumId w:val="14"/>
  </w:num>
  <w:num w:numId="30">
    <w:abstractNumId w:val="18"/>
  </w:num>
  <w:num w:numId="31">
    <w:abstractNumId w:val="9"/>
  </w:num>
  <w:num w:numId="32">
    <w:abstractNumId w:val="23"/>
  </w:num>
  <w:num w:numId="33">
    <w:abstractNumId w:val="24"/>
  </w:num>
  <w:num w:numId="34">
    <w:abstractNumId w:val="27"/>
  </w:num>
  <w:num w:numId="35">
    <w:abstractNumId w:val="28"/>
  </w:num>
  <w:num w:numId="36">
    <w:abstractNumId w:val="3"/>
  </w:num>
  <w:num w:numId="37">
    <w:abstractNumId w:val="31"/>
  </w:num>
  <w:num w:numId="38">
    <w:abstractNumId w:val="32"/>
  </w:num>
  <w:num w:numId="39">
    <w:abstractNumId w:val="36"/>
  </w:num>
  <w:num w:numId="40">
    <w:abstractNumId w:val="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2367C"/>
    <w:rsid w:val="00227B18"/>
    <w:rsid w:val="0024140B"/>
    <w:rsid w:val="0028306A"/>
    <w:rsid w:val="00292FF0"/>
    <w:rsid w:val="002B2A36"/>
    <w:rsid w:val="002D1224"/>
    <w:rsid w:val="00352ECE"/>
    <w:rsid w:val="00360AA9"/>
    <w:rsid w:val="00364BA0"/>
    <w:rsid w:val="0037323D"/>
    <w:rsid w:val="003D5FFF"/>
    <w:rsid w:val="003F622F"/>
    <w:rsid w:val="00450F5E"/>
    <w:rsid w:val="004923A3"/>
    <w:rsid w:val="004A4298"/>
    <w:rsid w:val="00507183"/>
    <w:rsid w:val="00545473"/>
    <w:rsid w:val="005571E4"/>
    <w:rsid w:val="00580971"/>
    <w:rsid w:val="00596BFD"/>
    <w:rsid w:val="00607312"/>
    <w:rsid w:val="00660753"/>
    <w:rsid w:val="00687BC3"/>
    <w:rsid w:val="006C558B"/>
    <w:rsid w:val="00741F41"/>
    <w:rsid w:val="007631AA"/>
    <w:rsid w:val="007716E2"/>
    <w:rsid w:val="00787B4C"/>
    <w:rsid w:val="007A659B"/>
    <w:rsid w:val="007B7481"/>
    <w:rsid w:val="007E47B6"/>
    <w:rsid w:val="0080449D"/>
    <w:rsid w:val="00806170"/>
    <w:rsid w:val="00881F3C"/>
    <w:rsid w:val="008F7993"/>
    <w:rsid w:val="009E1EA6"/>
    <w:rsid w:val="00A530BD"/>
    <w:rsid w:val="00AB2A0C"/>
    <w:rsid w:val="00B0389D"/>
    <w:rsid w:val="00B04D68"/>
    <w:rsid w:val="00B329EB"/>
    <w:rsid w:val="00B54F87"/>
    <w:rsid w:val="00BB0763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14C18"/>
    <w:rsid w:val="00D25389"/>
    <w:rsid w:val="00D5198C"/>
    <w:rsid w:val="00DA4F81"/>
    <w:rsid w:val="00DB586C"/>
    <w:rsid w:val="00DF1622"/>
    <w:rsid w:val="00E63C56"/>
    <w:rsid w:val="00E8170C"/>
    <w:rsid w:val="00EA2CB6"/>
    <w:rsid w:val="00EB4831"/>
    <w:rsid w:val="00F004AE"/>
    <w:rsid w:val="00F17659"/>
    <w:rsid w:val="00F5198F"/>
    <w:rsid w:val="00FB31DF"/>
    <w:rsid w:val="00FC0F50"/>
    <w:rsid w:val="00FC34F4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7B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7B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qFormat/>
    <w:rsid w:val="009E1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3CB4B-96BE-45D7-AE74-CBD6BBE1C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ac2bcd6b-1cfb-4024-b694-1e96efe82571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8d7f34ec-9741-4b79-a27d-5e7851a777a5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4</cp:revision>
  <cp:lastPrinted>2021-05-26T07:14:00Z</cp:lastPrinted>
  <dcterms:created xsi:type="dcterms:W3CDTF">2021-05-26T07:08:00Z</dcterms:created>
  <dcterms:modified xsi:type="dcterms:W3CDTF">2021-05-26T07:15:00Z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