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97FF" w14:textId="77777777" w:rsidR="00A35DAC" w:rsidRPr="003D628D" w:rsidRDefault="00A35DAC" w:rsidP="00A35DAC">
      <w:pPr>
        <w:tabs>
          <w:tab w:val="left" w:pos="6990"/>
        </w:tabs>
        <w:jc w:val="both"/>
      </w:pPr>
    </w:p>
    <w:p w14:paraId="50EDD346" w14:textId="77777777" w:rsidR="00A35DAC" w:rsidRPr="003D628D" w:rsidRDefault="00A35DAC" w:rsidP="00A35DAC">
      <w:pPr>
        <w:jc w:val="both"/>
      </w:pPr>
      <w:r w:rsidRPr="003D628D">
        <w:t xml:space="preserve">Dział Zamówień Publicznych                                             Grodzisk </w:t>
      </w:r>
      <w:r w:rsidRPr="003A7DA4">
        <w:t xml:space="preserve">Mazowiecki </w:t>
      </w:r>
      <w:r>
        <w:t>07</w:t>
      </w:r>
      <w:r w:rsidRPr="003A7DA4">
        <w:t>.1</w:t>
      </w:r>
      <w:r>
        <w:t>1.</w:t>
      </w:r>
      <w:r w:rsidRPr="003D628D">
        <w:t>2024 r.</w:t>
      </w:r>
    </w:p>
    <w:p w14:paraId="4ECF02C4" w14:textId="77777777" w:rsidR="00A35DAC" w:rsidRPr="003D628D" w:rsidRDefault="00A35DAC" w:rsidP="00A35DAC">
      <w:pPr>
        <w:tabs>
          <w:tab w:val="left" w:pos="6990"/>
        </w:tabs>
        <w:jc w:val="both"/>
      </w:pPr>
    </w:p>
    <w:p w14:paraId="76A9E6FA" w14:textId="77777777" w:rsidR="00A35DAC" w:rsidRPr="003D628D" w:rsidRDefault="00A35DAC" w:rsidP="00A35DAC">
      <w:pPr>
        <w:tabs>
          <w:tab w:val="left" w:pos="6990"/>
        </w:tabs>
        <w:jc w:val="both"/>
        <w:rPr>
          <w:b/>
          <w:bCs/>
        </w:rPr>
      </w:pPr>
      <w:r w:rsidRPr="003D628D">
        <w:rPr>
          <w:b/>
          <w:bCs/>
        </w:rPr>
        <w:t>SPS – V.262.</w:t>
      </w:r>
      <w:r>
        <w:rPr>
          <w:b/>
          <w:bCs/>
        </w:rPr>
        <w:t>67</w:t>
      </w:r>
      <w:r w:rsidRPr="003D628D">
        <w:rPr>
          <w:b/>
          <w:bCs/>
        </w:rPr>
        <w:t>.2024</w:t>
      </w:r>
      <w:r w:rsidRPr="003D628D">
        <w:rPr>
          <w:b/>
          <w:bCs/>
        </w:rPr>
        <w:tab/>
      </w:r>
    </w:p>
    <w:p w14:paraId="6F0EF37D" w14:textId="77777777" w:rsidR="00A35DAC" w:rsidRDefault="00A35DAC" w:rsidP="00A35DAC">
      <w:pPr>
        <w:tabs>
          <w:tab w:val="left" w:pos="6990"/>
        </w:tabs>
        <w:jc w:val="both"/>
        <w:rPr>
          <w:b/>
          <w:bCs/>
        </w:rPr>
      </w:pPr>
      <w:r w:rsidRPr="003D628D">
        <w:rPr>
          <w:b/>
          <w:bCs/>
        </w:rPr>
        <w:t xml:space="preserve">                                                                                                   Wszyscy uczestnicy przetargu </w:t>
      </w:r>
    </w:p>
    <w:p w14:paraId="3075021E" w14:textId="77777777" w:rsidR="00A35DAC" w:rsidRDefault="00A35DAC" w:rsidP="00A35DAC">
      <w:pPr>
        <w:pStyle w:val="Tekstpodstawowy2"/>
        <w:spacing w:line="276" w:lineRule="auto"/>
        <w:ind w:right="-3"/>
        <w:jc w:val="both"/>
        <w:rPr>
          <w:b/>
          <w:bCs/>
          <w:i/>
          <w:iCs/>
        </w:rPr>
      </w:pPr>
    </w:p>
    <w:p w14:paraId="556B1131" w14:textId="077F5E1E" w:rsidR="00C73BD8" w:rsidRPr="0097444D" w:rsidRDefault="00A35DAC" w:rsidP="00A35DAC">
      <w:pPr>
        <w:pStyle w:val="Tekstpodstawowy2"/>
        <w:spacing w:line="276" w:lineRule="auto"/>
        <w:ind w:right="-3"/>
        <w:jc w:val="both"/>
        <w:rPr>
          <w:b/>
          <w:bCs/>
          <w:i/>
          <w:iCs/>
        </w:rPr>
      </w:pPr>
      <w:r w:rsidRPr="003D628D">
        <w:rPr>
          <w:b/>
          <w:bCs/>
          <w:i/>
          <w:iCs/>
        </w:rPr>
        <w:t>Dotyczy postępowania na:</w:t>
      </w:r>
      <w:r w:rsidRPr="003D628D">
        <w:t xml:space="preserve"> </w:t>
      </w:r>
      <w:r w:rsidRPr="00CF6CED">
        <w:rPr>
          <w:b/>
          <w:bCs/>
          <w:i/>
          <w:iCs/>
        </w:rPr>
        <w:t xml:space="preserve">„Dostawa </w:t>
      </w:r>
      <w:r>
        <w:rPr>
          <w:b/>
          <w:bCs/>
          <w:i/>
          <w:iCs/>
        </w:rPr>
        <w:t>leków</w:t>
      </w:r>
      <w:r w:rsidRPr="003D628D">
        <w:rPr>
          <w:b/>
          <w:bCs/>
          <w:i/>
          <w:iCs/>
        </w:rPr>
        <w:t xml:space="preserve">” (Nr sprawy </w:t>
      </w:r>
      <w:r w:rsidRPr="003D628D">
        <w:rPr>
          <w:rStyle w:val="markedcontent"/>
          <w:b/>
          <w:bCs/>
          <w:i/>
          <w:iCs/>
        </w:rPr>
        <w:t>SPSSZ/</w:t>
      </w:r>
      <w:r>
        <w:rPr>
          <w:rStyle w:val="markedcontent"/>
          <w:b/>
          <w:bCs/>
          <w:i/>
          <w:iCs/>
        </w:rPr>
        <w:t>57</w:t>
      </w:r>
      <w:r w:rsidRPr="003D628D">
        <w:rPr>
          <w:rStyle w:val="markedcontent"/>
          <w:b/>
          <w:bCs/>
          <w:i/>
          <w:iCs/>
        </w:rPr>
        <w:t>/D/24</w:t>
      </w:r>
      <w:r w:rsidRPr="003D628D">
        <w:rPr>
          <w:b/>
          <w:bCs/>
          <w:i/>
          <w:iCs/>
        </w:rPr>
        <w:t>).</w:t>
      </w:r>
    </w:p>
    <w:p w14:paraId="027C0307" w14:textId="77777777" w:rsidR="00A35DAC" w:rsidRPr="00B83503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bookmarkStart w:id="0" w:name="_Hlk172529258"/>
      <w:r w:rsidRPr="00B83503">
        <w:rPr>
          <w:rFonts w:eastAsia="Times"/>
          <w:b/>
          <w:bCs/>
          <w:kern w:val="8"/>
          <w:lang w:eastAsia="en-US"/>
        </w:rPr>
        <w:t>Pytanie nr 1</w:t>
      </w:r>
    </w:p>
    <w:bookmarkEnd w:id="0"/>
    <w:p w14:paraId="6A8CDC1D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Czy Zamawiający wyrazi zgodę na zmodyfikowanie § 3 ust. 2 tak aby brzmiał:</w:t>
      </w:r>
    </w:p>
    <w:p w14:paraId="38E523B2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„2. Dostawa będzie realizowana sukcesywnie do godziny 14:00 na podstawie zamówień jednostkowych</w:t>
      </w:r>
      <w:r>
        <w:t xml:space="preserve"> </w:t>
      </w:r>
      <w:r w:rsidRPr="00665438">
        <w:t>realizowanych w ciągu ….. dni roboczych od otrzymania zamówienia.”</w:t>
      </w:r>
    </w:p>
    <w:p w14:paraId="4997485E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>
        <w:t xml:space="preserve"> Pozostają zapisy SWZ. </w:t>
      </w:r>
    </w:p>
    <w:p w14:paraId="4BC01CC8" w14:textId="77777777" w:rsidR="00A35DAC" w:rsidRPr="00665438" w:rsidRDefault="00A35DAC" w:rsidP="00A35DAC">
      <w:pPr>
        <w:keepLines/>
        <w:autoSpaceDE w:val="0"/>
        <w:adjustRightInd w:val="0"/>
        <w:jc w:val="both"/>
        <w:rPr>
          <w:b/>
          <w:bCs/>
        </w:rPr>
      </w:pPr>
    </w:p>
    <w:p w14:paraId="241D0E4F" w14:textId="77777777" w:rsidR="00A35DAC" w:rsidRPr="00CE6DF2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r w:rsidRPr="00CE6DF2">
        <w:rPr>
          <w:b/>
          <w:bCs/>
        </w:rPr>
        <w:t>Pytanie nr 2</w:t>
      </w:r>
    </w:p>
    <w:p w14:paraId="09BAA486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Dotyczy zapisów wzoru umowy § 3 ust. 3</w:t>
      </w:r>
    </w:p>
    <w:p w14:paraId="58466884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Zamawiający w § 3 ust. 3 wzoru umowy wskazał, iż:</w:t>
      </w:r>
    </w:p>
    <w:p w14:paraId="202486DE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„3. Dostawy „cito” będą realizowane na podstawie zamówień ‘cito” w ciągu 6 godzin od momentu</w:t>
      </w:r>
      <w:r>
        <w:t xml:space="preserve"> </w:t>
      </w:r>
      <w:r w:rsidRPr="00665438">
        <w:t>otrzymania zamówienia drogą jak wyżej.”</w:t>
      </w:r>
    </w:p>
    <w:p w14:paraId="3456B03E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Zgodnie z obowiązującymi wewnętrznymi procedurami u Wykonawcy, minimalny czas dostawy „na cito”</w:t>
      </w:r>
      <w:r>
        <w:t xml:space="preserve"> </w:t>
      </w:r>
      <w:r w:rsidRPr="00665438">
        <w:t>wynosi 12 godzin od poniedziałku do piątku, z wyłączeniem dni ustawowo wolnych od pracy, w związku z</w:t>
      </w:r>
      <w:r>
        <w:t xml:space="preserve"> </w:t>
      </w:r>
      <w:r w:rsidRPr="00665438">
        <w:t>tym, czy Zamawiający wyrazi zgodę na realizację dostawy pilnej w ciągu 12 godzin od poniedziałku do</w:t>
      </w:r>
      <w:r>
        <w:t xml:space="preserve"> </w:t>
      </w:r>
      <w:r w:rsidRPr="00665438">
        <w:t>piątku, z wyłączeniem dni ustawowo wolnych w godzinach pracy Apteki dla asortymentu nie będącego</w:t>
      </w:r>
      <w:r>
        <w:t xml:space="preserve"> </w:t>
      </w:r>
      <w:r w:rsidRPr="00665438">
        <w:t>lekami na ratunek życia znajdującego się w pakietów nr 25,74?</w:t>
      </w:r>
    </w:p>
    <w:p w14:paraId="7CB3F9D6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>
        <w:t xml:space="preserve"> W przypadku pakietów 25 oraz 74 Zamawiający rezygnuje na wniosek oferenta z dostaw CITO. </w:t>
      </w:r>
    </w:p>
    <w:p w14:paraId="1F84733E" w14:textId="77777777" w:rsidR="00A35DAC" w:rsidRDefault="00A35DAC" w:rsidP="00A35DAC">
      <w:pPr>
        <w:keepLines/>
        <w:autoSpaceDE w:val="0"/>
        <w:adjustRightInd w:val="0"/>
        <w:jc w:val="both"/>
      </w:pPr>
    </w:p>
    <w:p w14:paraId="3745C599" w14:textId="77777777" w:rsidR="00A35DAC" w:rsidRPr="00B83503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3</w:t>
      </w:r>
    </w:p>
    <w:p w14:paraId="0ABA61A4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Do §1 ust. 4 wzoru umowy: Prosimy o modyfikację treści §1 ust. 4 poprzez skonkretyzowanie</w:t>
      </w:r>
    </w:p>
    <w:p w14:paraId="2B408900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granicznych wartości dla poszczególnych pozycji asortymentowych, jakie Zamawiający zamierza</w:t>
      </w:r>
      <w:r>
        <w:t xml:space="preserve"> </w:t>
      </w:r>
      <w:r w:rsidRPr="00665438">
        <w:t>zrealizować, np. poprzez podanie, że zmiany ilości produktów określonych w formularzu cenowym mogą</w:t>
      </w:r>
      <w:r>
        <w:t xml:space="preserve"> </w:t>
      </w:r>
      <w:r w:rsidRPr="00665438">
        <w:t>ulec zmniejszeniu lub zwiększeniu w granicach +/- 20%, przy czym przez takie sformułowanie</w:t>
      </w:r>
      <w:r>
        <w:t xml:space="preserve"> </w:t>
      </w:r>
      <w:r w:rsidRPr="00665438">
        <w:t>Zamawiający będzie rozumiał możliwość zamówienia o 20% mniejszych lub o 20% większych ilości,</w:t>
      </w:r>
      <w:r>
        <w:t xml:space="preserve"> </w:t>
      </w:r>
      <w:r w:rsidRPr="00665438">
        <w:t>każdego z zamówionych asortymentów. Aktualna treść §1 ust. 4 jest na tyle ogólna i nieprecyzyjna, że na</w:t>
      </w:r>
      <w:r>
        <w:t xml:space="preserve"> </w:t>
      </w:r>
      <w:r w:rsidRPr="00665438">
        <w:t>jej podstawie wykonawcy nie są w stanie określić faktycznej wielkości przedmiotu</w:t>
      </w:r>
      <w:r>
        <w:t xml:space="preserve"> </w:t>
      </w:r>
      <w:r w:rsidRPr="00665438">
        <w:t>zamówienia w zakresie</w:t>
      </w:r>
      <w:r>
        <w:t xml:space="preserve"> </w:t>
      </w:r>
      <w:r w:rsidRPr="00665438">
        <w:t>poszczególnych pozycji asortymentowych oraz nie są w stanie dokonać prawidłowej kalkulacji cen na</w:t>
      </w:r>
      <w:r>
        <w:t xml:space="preserve"> </w:t>
      </w:r>
      <w:r w:rsidRPr="00665438">
        <w:t>potrzeby składanej oferty.</w:t>
      </w:r>
    </w:p>
    <w:p w14:paraId="65D49638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lastRenderedPageBreak/>
        <w:t>W wyroku z dnia 17 listopada 2023 roku (sygn. akt: KIO 3212/23) Krajowa Izba Odwoławcza uwzględniła</w:t>
      </w:r>
      <w:r>
        <w:t xml:space="preserve"> </w:t>
      </w:r>
      <w:r w:rsidRPr="00665438">
        <w:t xml:space="preserve">odwołanie wniesione przez wykonawcę </w:t>
      </w:r>
      <w:proofErr w:type="spellStart"/>
      <w:r w:rsidRPr="00665438">
        <w:t>Urtica</w:t>
      </w:r>
      <w:proofErr w:type="spellEnd"/>
      <w:r w:rsidRPr="00665438">
        <w:t xml:space="preserve"> Sp. z o.o. z siedzibą we Wrocławiu w postępowaniu</w:t>
      </w:r>
      <w:r>
        <w:t xml:space="preserve"> </w:t>
      </w:r>
      <w:r w:rsidRPr="00665438">
        <w:t>prowadzonym przez Szpital Specjalistyczny im. E. Biernackiego w Mielcu na dostawy produktów</w:t>
      </w:r>
      <w:r>
        <w:t xml:space="preserve"> </w:t>
      </w:r>
      <w:r w:rsidRPr="00665438">
        <w:t>leczniczych oraz wyrobów medycznych, dotyczące analogicznych zapisów umownych, uznając za</w:t>
      </w:r>
      <w:r>
        <w:t xml:space="preserve"> </w:t>
      </w:r>
      <w:r w:rsidRPr="00665438">
        <w:t>uzasadnione zarzuty naruszenia art. 99 ust. 1, art. 433 pkt 4, art. oraz 441 ust. 1 ustawy z dnia 11</w:t>
      </w:r>
      <w:r>
        <w:t xml:space="preserve"> </w:t>
      </w:r>
      <w:r w:rsidRPr="00665438">
        <w:t>września 2019 r. Prawo Zamówień Publicznych (Dz. U. 2023 poz. 1605). KIO stwierdziła, że Zamawiający</w:t>
      </w:r>
      <w:r>
        <w:t xml:space="preserve"> </w:t>
      </w:r>
      <w:r w:rsidRPr="00665438">
        <w:t>jest bezwzględnie zobowiązany wskazać minimalną ilość każdego zamawianego produktu, zgodnie z</w:t>
      </w:r>
      <w:r>
        <w:t xml:space="preserve"> </w:t>
      </w:r>
      <w:r w:rsidRPr="00665438">
        <w:t>treścią wynikającą z art. 433 pkt 4 PZP, a także uznała, że Zamawiający ma bezwzględny obowiązek w</w:t>
      </w:r>
      <w:r>
        <w:t xml:space="preserve"> </w:t>
      </w:r>
      <w:r w:rsidRPr="00665438">
        <w:t>sposób precyzyjny, zrozumiały oraz jednoznaczny wskazać w zakresie każdego zamawianego produktu,</w:t>
      </w:r>
      <w:r>
        <w:t xml:space="preserve"> </w:t>
      </w:r>
      <w:r w:rsidRPr="00665438">
        <w:t>jego ilość, do której może zwiększyć zakres zamówienia w ramach korzystania z prawa opcji, co z kolei</w:t>
      </w:r>
      <w:r>
        <w:t xml:space="preserve"> </w:t>
      </w:r>
      <w:r w:rsidRPr="00665438">
        <w:t>wynika z treści art. 441 ust. 1 PZP.</w:t>
      </w:r>
    </w:p>
    <w:p w14:paraId="2793DEA7" w14:textId="77777777" w:rsidR="00A35DAC" w:rsidRPr="00665438" w:rsidRDefault="00A35DAC" w:rsidP="00A35DAC">
      <w:pPr>
        <w:keepLines/>
        <w:autoSpaceDE w:val="0"/>
        <w:adjustRightInd w:val="0"/>
        <w:jc w:val="both"/>
      </w:pPr>
    </w:p>
    <w:p w14:paraId="6ED16D41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KIO uznała, że chociaż Zamawiający dysponuje ograniczonymi możliwościami w zakresie precyzyjnego</w:t>
      </w:r>
      <w:r>
        <w:t xml:space="preserve"> </w:t>
      </w:r>
      <w:r w:rsidRPr="00665438">
        <w:t>określenia zapotrzebowania na poszczególne produkty, a rodzaj i ilość towarów koniecznych do</w:t>
      </w:r>
      <w:r>
        <w:t xml:space="preserve"> </w:t>
      </w:r>
      <w:r w:rsidRPr="00665438">
        <w:t>prawidłowego udzielania świadczeń zdrowotnych są uzależnione od różnych okoliczności, to jednak ich</w:t>
      </w:r>
      <w:r>
        <w:t xml:space="preserve"> </w:t>
      </w:r>
      <w:r w:rsidRPr="00665438">
        <w:t>zaistnienie nie ma wpływu na zapisy umowy, które naruszają art. 99 ust. 1 PZP, art. 433 pkt 4 PZP i art.</w:t>
      </w:r>
      <w:r>
        <w:t xml:space="preserve"> </w:t>
      </w:r>
      <w:r w:rsidRPr="00665438">
        <w:t>441 ust. 1 PZP. Izba potwierdziła, że norma wynikająca z art. 433 pkt 4 PZP, która zakazuje wprowadzania</w:t>
      </w:r>
      <w:r>
        <w:t xml:space="preserve"> </w:t>
      </w:r>
      <w:r w:rsidRPr="00665438">
        <w:t>postanowień przewidujących możliwość dowolnego ograniczenia zakresu zamówienia, bez wskazania</w:t>
      </w:r>
      <w:r>
        <w:t xml:space="preserve"> </w:t>
      </w:r>
      <w:r w:rsidRPr="00665438">
        <w:t>minimalnej wartości lub wielkości świadczenia stron oraz norma wynikająca z art. 441 ust. 1 PZP, która</w:t>
      </w:r>
      <w:r>
        <w:t xml:space="preserve"> </w:t>
      </w:r>
      <w:r w:rsidRPr="00665438">
        <w:t>określa zasady korzystania z prawa opcji, nakazująca opisywać je w postaci zrozumiałych, precyzyjnych</w:t>
      </w:r>
      <w:r>
        <w:t xml:space="preserve"> </w:t>
      </w:r>
      <w:r w:rsidRPr="00665438">
        <w:t>oraz jednoznacznych postanowień, mają charakter bezwzględnie obowiązujący. Ponadto, żadne inne</w:t>
      </w:r>
      <w:r>
        <w:t xml:space="preserve"> </w:t>
      </w:r>
      <w:r w:rsidRPr="00665438">
        <w:t>przepisy PZP nie ograniczają ani nie wyłączają zastosowania tych norm w przypadkach wystąpienia</w:t>
      </w:r>
      <w:r>
        <w:t xml:space="preserve"> </w:t>
      </w:r>
      <w:r w:rsidRPr="00665438">
        <w:t>okoliczności mających wpływ na rodzaj i ilość towarów stanowiących zapotrzebowanie podmiotów</w:t>
      </w:r>
      <w:r>
        <w:t xml:space="preserve"> </w:t>
      </w:r>
      <w:r w:rsidRPr="00665438">
        <w:t>udzielających świadczenia zdrowotne. KIO stwierdziła też, że wszelkie okoliczności, które powodują, że</w:t>
      </w:r>
      <w:r>
        <w:t xml:space="preserve"> </w:t>
      </w:r>
      <w:r w:rsidRPr="00665438">
        <w:t>Zamawiający nie jest w stanie przewidzieć, ile dokładnie produktów będzie potrzebował, nie mogą</w:t>
      </w:r>
      <w:r>
        <w:t xml:space="preserve"> </w:t>
      </w:r>
      <w:r w:rsidRPr="00665438">
        <w:t>powodować naruszenia art. 99 ust. 1 PZP, który nakazuje jednoznacznie, wyczerpująco, dokładnie i</w:t>
      </w:r>
      <w:r>
        <w:t xml:space="preserve"> </w:t>
      </w:r>
      <w:r w:rsidRPr="00665438">
        <w:t>zrozumiale opisać przedmiot zamówienia, w tym przypadku poprzez podanie liczby asortymentu, do</w:t>
      </w:r>
      <w:r>
        <w:t xml:space="preserve"> </w:t>
      </w:r>
      <w:r w:rsidRPr="00840A5D">
        <w:t>której zamierza zmniejszyć lub</w:t>
      </w:r>
      <w:r w:rsidRPr="00665438">
        <w:t xml:space="preserve"> zwiększyć zakres zamówienia w zakresie każdego produktu.</w:t>
      </w:r>
    </w:p>
    <w:p w14:paraId="7359467A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KIO wskazała, że w przypadku zamówienia udzielanego w częściach, każda z części zamówienia stanowi</w:t>
      </w:r>
      <w:r>
        <w:t xml:space="preserve"> </w:t>
      </w:r>
      <w:r w:rsidRPr="00665438">
        <w:t>odrębne zamówienie. W związku z tym, opis przedmiotu zamówienia, który przewiduje dowolne</w:t>
      </w:r>
      <w:r>
        <w:t xml:space="preserve"> </w:t>
      </w:r>
      <w:r w:rsidRPr="00665438">
        <w:t>zwiększanie lub zmniejszanie ilości produktów z wybranych pozycji asortymentu, w tym całkowitą</w:t>
      </w:r>
      <w:r>
        <w:t xml:space="preserve"> </w:t>
      </w:r>
      <w:r w:rsidRPr="00665438">
        <w:t>rezygnację z niektórych pozycji asortymentu, należy uznać za niejednoznaczny, niewyczerpujący,</w:t>
      </w:r>
      <w:r>
        <w:t xml:space="preserve"> </w:t>
      </w:r>
      <w:r w:rsidRPr="00665438">
        <w:t>nieprecyzyjny, nieuwzględniający wszystkich wymagań oraz okoliczności, mogących mieć wpływ na</w:t>
      </w:r>
      <w:r>
        <w:t xml:space="preserve"> </w:t>
      </w:r>
      <w:r w:rsidRPr="00665438">
        <w:t>sporządzenie oferty. Izba zauważyła, że możliwość zwiększenia zakresu zamówienia w istocie stanowi</w:t>
      </w:r>
      <w:r>
        <w:t xml:space="preserve"> </w:t>
      </w:r>
      <w:r w:rsidRPr="00665438">
        <w:t>opcję, co potwierdza art. 31 ust. 2 PZP, z którego wynika, że przy ustaleniu wartości zamówienia</w:t>
      </w:r>
      <w:r>
        <w:t xml:space="preserve"> </w:t>
      </w:r>
      <w:r w:rsidRPr="00665438">
        <w:t>uwzględnia się największy możliwy zakres tego zamówienia z uwzględnieniem opcji. KIO wywnioskowała</w:t>
      </w:r>
      <w:r>
        <w:t xml:space="preserve"> </w:t>
      </w:r>
      <w:r w:rsidRPr="00665438">
        <w:t>także, że gdy przedmiotem zamówienia są dostawy, opcja stanowi instrument, który pozwala</w:t>
      </w:r>
      <w:r>
        <w:t xml:space="preserve"> </w:t>
      </w:r>
      <w:r w:rsidRPr="00665438">
        <w:t>Zamawiającemu na nabycie produktów w ilości adekwatnej do zmian w zakresie jego potrzeb,</w:t>
      </w:r>
      <w:r>
        <w:t xml:space="preserve"> </w:t>
      </w:r>
      <w:r w:rsidRPr="00665438">
        <w:t>występujących po zawarciu umowy w sprawie zamówienia publicznego. Zamawiający ma więc możliwość</w:t>
      </w:r>
      <w:r>
        <w:t xml:space="preserve"> </w:t>
      </w:r>
      <w:r w:rsidRPr="00665438">
        <w:t>zastrzeżenia w umowie „opcji w górę”, przewidującej zwiększenie zakresu zamówienia oraz „opcji w dół”,</w:t>
      </w:r>
      <w:r>
        <w:t xml:space="preserve"> </w:t>
      </w:r>
      <w:r w:rsidRPr="00665438">
        <w:t>pozwalającej na ograniczenie zakresu zamówienia. Nie jest nieprawidłowe zawarcie obu tych możliwości</w:t>
      </w:r>
      <w:r>
        <w:t xml:space="preserve"> </w:t>
      </w:r>
      <w:r w:rsidRPr="00665438">
        <w:t>w jednym postanowieniu umowy czy też powiązanie ich ze sobą, ale przy ograniczaniu zakresu</w:t>
      </w:r>
      <w:r>
        <w:t xml:space="preserve"> </w:t>
      </w:r>
      <w:r w:rsidRPr="00665438">
        <w:t>zamówienia należy przestrzegać zasady wynikającej z treści art. 433 pkt 4 PZP, natomiast w zakresie,</w:t>
      </w:r>
      <w:r>
        <w:t xml:space="preserve"> </w:t>
      </w:r>
      <w:r w:rsidRPr="00665438">
        <w:t>gdzie zwiększenie zakresu zamówienia stanowi opcję, należy stosować się do reguł wynikających z art.</w:t>
      </w:r>
      <w:r>
        <w:t xml:space="preserve"> </w:t>
      </w:r>
      <w:r w:rsidRPr="00665438">
        <w:t>441 ust. 1 PZP.</w:t>
      </w:r>
    </w:p>
    <w:p w14:paraId="42F1BDDE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Pr="00FD3D95">
        <w:rPr>
          <w:lang w:eastAsia="pl-PL"/>
        </w:rPr>
        <w:t xml:space="preserve"> </w:t>
      </w:r>
      <w:r w:rsidRPr="00D33464">
        <w:rPr>
          <w:lang w:eastAsia="pl-PL"/>
        </w:rPr>
        <w:t>Pozostają zapisy SWZ</w:t>
      </w:r>
      <w:r>
        <w:rPr>
          <w:lang w:eastAsia="pl-PL"/>
        </w:rPr>
        <w:t>.</w:t>
      </w:r>
    </w:p>
    <w:p w14:paraId="4F0DB7C0" w14:textId="77777777" w:rsidR="00A35DAC" w:rsidRDefault="00A35DAC" w:rsidP="00A35DAC">
      <w:pPr>
        <w:keepLines/>
        <w:autoSpaceDE w:val="0"/>
        <w:adjustRightInd w:val="0"/>
        <w:jc w:val="both"/>
      </w:pPr>
    </w:p>
    <w:p w14:paraId="5C4F333D" w14:textId="77777777" w:rsidR="00A35DAC" w:rsidRDefault="00A35DAC" w:rsidP="00A35DAC">
      <w:pPr>
        <w:keepLines/>
        <w:autoSpaceDE w:val="0"/>
        <w:adjustRightInd w:val="0"/>
        <w:jc w:val="both"/>
      </w:pPr>
    </w:p>
    <w:p w14:paraId="656D99FA" w14:textId="77777777" w:rsidR="00A35DAC" w:rsidRPr="00665438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4</w:t>
      </w:r>
    </w:p>
    <w:p w14:paraId="38B8FE76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Do §1 ust. 5 wzoru umowy Prosimy o dodanie zastrzeżenia, że przedłużenie terminu umowy będzie</w:t>
      </w:r>
      <w:r>
        <w:t xml:space="preserve"> </w:t>
      </w:r>
      <w:r w:rsidRPr="00665438">
        <w:t>możliwe po obopólnym wyrażeniu zgody przez strony w formie aneksu.</w:t>
      </w:r>
    </w:p>
    <w:p w14:paraId="2C06CB43" w14:textId="5B037D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="00CA5405">
        <w:rPr>
          <w:b/>
          <w:bCs/>
        </w:rPr>
        <w:t xml:space="preserve"> </w:t>
      </w:r>
      <w:r w:rsidR="00CA5405" w:rsidRPr="00CA5405">
        <w:t>Zgodnie z §1 ust. 8 wzoru umowy zmiany określone w ust. 5 muszą być potwierdzone stosownym aneksem</w:t>
      </w:r>
      <w:r w:rsidR="00170004">
        <w:t xml:space="preserve"> po wyrażeniu zgody przez obie strony. </w:t>
      </w:r>
    </w:p>
    <w:p w14:paraId="1BB08D61" w14:textId="77777777" w:rsidR="00A35DAC" w:rsidRDefault="00A35DAC" w:rsidP="00A35DAC">
      <w:pPr>
        <w:keepLines/>
        <w:autoSpaceDE w:val="0"/>
        <w:adjustRightInd w:val="0"/>
        <w:jc w:val="both"/>
      </w:pPr>
    </w:p>
    <w:p w14:paraId="5F2C7304" w14:textId="77777777" w:rsidR="00A35DAC" w:rsidRPr="00665438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5</w:t>
      </w:r>
    </w:p>
    <w:p w14:paraId="474543CF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Do §2 ust. 8-10 wzoru umowy. Prosimy o zmianę treści §2 ust. 8 poprzez usunięcie postanowienia</w:t>
      </w:r>
      <w:r>
        <w:t xml:space="preserve"> </w:t>
      </w:r>
      <w:r w:rsidRPr="00665438">
        <w:t>ustanawiającego, że Zamawiający i Wykonawca są uprawnieni do wprowadzenia zmiany wynagrodzenia</w:t>
      </w:r>
      <w:r>
        <w:t xml:space="preserve"> </w:t>
      </w:r>
      <w:r w:rsidRPr="00665438">
        <w:t>Wykonawcy, gdy w okresie obowiązywania umowy zmiana cen lub kosztów związanych z wykonywaniem</w:t>
      </w:r>
      <w:r>
        <w:t xml:space="preserve"> </w:t>
      </w:r>
      <w:r w:rsidRPr="00665438">
        <w:t>dostaw objętych umową osiągnie poziom 15% lub wyższy w stosunku do cen lub kosztów przyjętych</w:t>
      </w:r>
      <w:r>
        <w:t xml:space="preserve"> </w:t>
      </w:r>
      <w:r w:rsidRPr="00665438">
        <w:t>przez Wykonawcę do oszacowania ceny wskazanej w ofercie, poprzez zastąpienie go postanowieniem</w:t>
      </w:r>
      <w:r>
        <w:t xml:space="preserve"> </w:t>
      </w:r>
      <w:r w:rsidRPr="00665438">
        <w:t>przewidującym, że wartość ww. poziomu zmiany cen wyniesie 5%, gdyż ww. zapis narusza zasadę</w:t>
      </w:r>
      <w:r>
        <w:t xml:space="preserve"> </w:t>
      </w:r>
      <w:r w:rsidRPr="00665438">
        <w:t>ekwiwalentności świadczeń stron oraz postulat równomiernego rozłożenia ryzyka kontraktowego.</w:t>
      </w:r>
    </w:p>
    <w:p w14:paraId="4747307E" w14:textId="77777777" w:rsidR="00A35DAC" w:rsidRPr="00665438" w:rsidRDefault="00A35DAC" w:rsidP="00A35DAC">
      <w:pPr>
        <w:keepLines/>
        <w:autoSpaceDE w:val="0"/>
        <w:adjustRightInd w:val="0"/>
        <w:jc w:val="both"/>
      </w:pPr>
    </w:p>
    <w:p w14:paraId="111C38E1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Wskazać należy, że §2 ust. 8, ustanawiający poziom zmiany ceny materiałów lub kosztów uprawniający</w:t>
      </w:r>
      <w:r>
        <w:t xml:space="preserve"> </w:t>
      </w:r>
      <w:r w:rsidRPr="00665438">
        <w:t>strony umowy do żądania zmiany wynagrodzenia na 15%, nie zapewnia ekwiwalentności świadczeń stron</w:t>
      </w:r>
      <w:r>
        <w:t xml:space="preserve"> </w:t>
      </w:r>
      <w:r w:rsidRPr="00665438">
        <w:t>umowy oraz nie niweluje ryzyka związanego ze zmianą kosztów wykonania zamówienia publicznego, co</w:t>
      </w:r>
      <w:r>
        <w:t xml:space="preserve"> </w:t>
      </w:r>
      <w:r w:rsidRPr="00665438">
        <w:t>przy aktualnym poziomie inflacji prowadzi do uznania, że narusza on istotę waloryzacji, zasady uczciwej</w:t>
      </w:r>
      <w:r>
        <w:t xml:space="preserve"> </w:t>
      </w:r>
      <w:r w:rsidRPr="00665438">
        <w:t>konkurencji oraz postulat równego traktowania stron stosunku zobowiązaniowego. Przy obecnym</w:t>
      </w:r>
      <w:r>
        <w:t xml:space="preserve"> </w:t>
      </w:r>
      <w:r w:rsidRPr="00665438">
        <w:t>kształcie ww. postanowienia Wykonawca musi z góry założyć, że w przypadku wzrostu kosztów realizacji</w:t>
      </w:r>
      <w:r>
        <w:t xml:space="preserve"> </w:t>
      </w:r>
      <w:r w:rsidRPr="00665438">
        <w:t>umowy np. o 14% (co stanowi bardzo dużą wartość, zwłaszcza uwzględniając niskie marże w</w:t>
      </w:r>
    </w:p>
    <w:p w14:paraId="02BEC0D2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zamówieniach publicznych na dostawy leków) jego wynagrodzenie nie zostanie zwiększone. Tak znaczne</w:t>
      </w:r>
      <w:r>
        <w:t xml:space="preserve"> </w:t>
      </w:r>
      <w:r w:rsidRPr="00665438">
        <w:t>ograniczenie możliwości waloryzacji wynagrodzenia w umowie jest przejawem nadużycia przez</w:t>
      </w:r>
      <w:r>
        <w:t xml:space="preserve"> </w:t>
      </w:r>
      <w:r w:rsidRPr="00665438">
        <w:t>Zamawiającego dominującej pozycji w postępowaniu, zatem kwestionowany zapis powinien zostać</w:t>
      </w:r>
    </w:p>
    <w:p w14:paraId="6AF7EACA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zmieniony w zaproponowany sposób.</w:t>
      </w:r>
    </w:p>
    <w:p w14:paraId="43F7318F" w14:textId="77777777" w:rsidR="00A35DAC" w:rsidRPr="00665438" w:rsidRDefault="00A35DAC" w:rsidP="00A35DAC">
      <w:pPr>
        <w:keepLines/>
        <w:autoSpaceDE w:val="0"/>
        <w:adjustRightInd w:val="0"/>
        <w:jc w:val="both"/>
      </w:pPr>
    </w:p>
    <w:p w14:paraId="7D35142F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W tym miejscu, wskazujemy, że powyższy zarzut odnieść można także do §2 ust. 9 oraz 10 wzoru umowy,</w:t>
      </w:r>
      <w:r>
        <w:t xml:space="preserve"> </w:t>
      </w:r>
      <w:r w:rsidRPr="00665438">
        <w:t>który także jawi się jako naruszający zasadę ekwiwalentności świadczeń stron oraz postulat</w:t>
      </w:r>
      <w:r>
        <w:t xml:space="preserve"> </w:t>
      </w:r>
      <w:r w:rsidRPr="00665438">
        <w:t>równomiernego rozłożenia ryzyka kontraktowego. Dopiero umożliwienie dokonania pierwszej waloryzacji</w:t>
      </w:r>
      <w:r>
        <w:t xml:space="preserve"> </w:t>
      </w:r>
      <w:r w:rsidRPr="00665438">
        <w:t>po 6 miesiącach od zawarcia umowy, a kolejnych po 6 miesiącach od poprzedniej i zwiększenie</w:t>
      </w:r>
      <w:r>
        <w:t xml:space="preserve"> </w:t>
      </w:r>
      <w:r w:rsidRPr="00665438">
        <w:t>maksymalnej wartości zmiany wynagrodzenia do 15% uznać można za wystarczające dla zapewnienia</w:t>
      </w:r>
      <w:r>
        <w:t xml:space="preserve"> </w:t>
      </w:r>
      <w:r w:rsidRPr="00665438">
        <w:t>równowagi kontraktowej stron</w:t>
      </w:r>
    </w:p>
    <w:p w14:paraId="78545C16" w14:textId="77777777" w:rsidR="00A35DAC" w:rsidRPr="00665438" w:rsidRDefault="00A35DAC" w:rsidP="00A35DAC">
      <w:pPr>
        <w:keepLines/>
        <w:autoSpaceDE w:val="0"/>
        <w:adjustRightInd w:val="0"/>
        <w:jc w:val="both"/>
      </w:pPr>
    </w:p>
    <w:p w14:paraId="575DB280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Jednocześnie prosimy o dodanie zastrzeżenia, że w przypadku, gdy strony nie dojdą do porozumienia w</w:t>
      </w:r>
      <w:r>
        <w:t xml:space="preserve"> </w:t>
      </w:r>
      <w:r w:rsidRPr="00665438">
        <w:t>zakresie zmiany wynagrodzenia Wykonawcy w oparciu o §2 ust. 8-10 wzoru umowy, zarówno Wykonawca</w:t>
      </w:r>
      <w:r>
        <w:t xml:space="preserve"> </w:t>
      </w:r>
      <w:r w:rsidRPr="00665438">
        <w:t>jaki i Zamawiający nabędą uprawnienie do rozwiązania w tej części umowy, za porozumieniem stron, z</w:t>
      </w:r>
      <w:r>
        <w:t xml:space="preserve"> </w:t>
      </w:r>
      <w:r w:rsidRPr="00665438">
        <w:t>zachowaniem jednomiesięcznego okresu wypowiedzenia, bez obowiązku ponoszenia z tego tytułu kar</w:t>
      </w:r>
      <w:r>
        <w:t xml:space="preserve"> </w:t>
      </w:r>
      <w:r w:rsidRPr="00665438">
        <w:t>umownych.</w:t>
      </w:r>
    </w:p>
    <w:p w14:paraId="4095B1BD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Pr="00FD3D95">
        <w:rPr>
          <w:lang w:eastAsia="pl-PL"/>
        </w:rPr>
        <w:t xml:space="preserve"> </w:t>
      </w:r>
      <w:bookmarkStart w:id="1" w:name="_Hlk181619319"/>
      <w:r>
        <w:rPr>
          <w:lang w:eastAsia="pl-PL"/>
        </w:rPr>
        <w:t>Pozostają zapisy SWZ.</w:t>
      </w:r>
      <w:bookmarkEnd w:id="1"/>
    </w:p>
    <w:p w14:paraId="49D08650" w14:textId="77777777" w:rsidR="00A35DAC" w:rsidRDefault="00A35DAC" w:rsidP="00A35DAC">
      <w:pPr>
        <w:keepLines/>
        <w:autoSpaceDE w:val="0"/>
        <w:adjustRightInd w:val="0"/>
        <w:jc w:val="both"/>
      </w:pPr>
    </w:p>
    <w:p w14:paraId="5FBD7F0E" w14:textId="77777777" w:rsidR="00A35DAC" w:rsidRPr="00463B1F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6</w:t>
      </w:r>
    </w:p>
    <w:p w14:paraId="03C02DAE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 xml:space="preserve">Do </w:t>
      </w:r>
      <w:bookmarkStart w:id="2" w:name="_Hlk181875830"/>
      <w:r w:rsidRPr="00665438">
        <w:t>§2</w:t>
      </w:r>
      <w:bookmarkEnd w:id="2"/>
      <w:r w:rsidRPr="00665438">
        <w:t xml:space="preserve"> wzoru umowy: Wnosimy o zmianę §2 wzoru umowy poprzez dodanie zapisu zakładającego</w:t>
      </w:r>
      <w:r>
        <w:t xml:space="preserve"> </w:t>
      </w:r>
      <w:r w:rsidRPr="00665438">
        <w:t>waloryzację wynagrodzenia Wykonawcy w przypadku zmiany:</w:t>
      </w:r>
    </w:p>
    <w:p w14:paraId="7EA52DC5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1) wysokości minimalnego wynagrodzenia za pracę albo wysokości minimalnej stawki godzinowej,</w:t>
      </w:r>
      <w:r>
        <w:t xml:space="preserve"> </w:t>
      </w:r>
      <w:r w:rsidRPr="00665438">
        <w:t>ustalonych na podstawie ustawy o minimalnym wynagrodzeniu za pracę,</w:t>
      </w:r>
    </w:p>
    <w:p w14:paraId="21D9DC4C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2) zasad podlegania ubezpieczeniom społecznym lub ubezpieczeniu zdrowotnemu lub wysokości stawki</w:t>
      </w:r>
      <w:r>
        <w:t xml:space="preserve"> </w:t>
      </w:r>
      <w:r w:rsidRPr="00665438">
        <w:t>składki na ubezpieczenia społeczne lub ubezpieczenie zdrowotne,</w:t>
      </w:r>
    </w:p>
    <w:p w14:paraId="3DE521A8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3) zasad gromadzenia i wysokości wpłat do pracowniczych planów kapitałowych, o których mowa w</w:t>
      </w:r>
      <w:r>
        <w:t xml:space="preserve"> </w:t>
      </w:r>
      <w:r w:rsidRPr="00665438">
        <w:t>ustawie o pracowniczych planach kapitałowych</w:t>
      </w:r>
    </w:p>
    <w:p w14:paraId="1A48FFE7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>- wraz z określeniem procedury dokonania ww. zmiany, albowiem postanowienie to stanowi obligatoryjny</w:t>
      </w:r>
      <w:r>
        <w:t xml:space="preserve"> </w:t>
      </w:r>
      <w:r w:rsidRPr="00665438">
        <w:t>element umowy zawieranej na okres przekraczający 12 miesięcy według art. 436 ust. 4 lit. b ustawy –</w:t>
      </w:r>
      <w:r>
        <w:t xml:space="preserve"> </w:t>
      </w:r>
      <w:r w:rsidRPr="00665438">
        <w:t>Prawo zamówień publicznych?</w:t>
      </w:r>
    </w:p>
    <w:p w14:paraId="7D8DFA89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Wskazać należy, że w treści wzoru umowy brak jest postanowienia przewidującego waloryzację</w:t>
      </w:r>
      <w:r>
        <w:t xml:space="preserve"> </w:t>
      </w:r>
      <w:r w:rsidRPr="00665438">
        <w:t>wynagrodzenia Wykonawcy w przypadkach wymienionych w art. 436 ust. 4 lit. b PZP. Mając zaś na</w:t>
      </w:r>
      <w:r>
        <w:t xml:space="preserve"> </w:t>
      </w:r>
      <w:r w:rsidRPr="00665438">
        <w:t>względzie, że postanowienie to stanowić powinno – zgodnie z zamysłem ustawodawcy – obowiązkowy</w:t>
      </w:r>
      <w:r>
        <w:t xml:space="preserve"> </w:t>
      </w:r>
      <w:r w:rsidRPr="00665438">
        <w:t>element umów przetargowych, brak jego zamieszczenia w treści umowy uznać należy za naruszenie</w:t>
      </w:r>
      <w:r>
        <w:t xml:space="preserve"> </w:t>
      </w:r>
      <w:r w:rsidRPr="00665438">
        <w:t>przepisów ustawy.</w:t>
      </w:r>
    </w:p>
    <w:p w14:paraId="4AD14DC2" w14:textId="0E889366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="00CA5405">
        <w:rPr>
          <w:b/>
          <w:bCs/>
        </w:rPr>
        <w:t xml:space="preserve"> </w:t>
      </w:r>
      <w:r w:rsidR="00CA5405" w:rsidRPr="00CA5405">
        <w:t xml:space="preserve">Zamawiający uwzględnił zapisy dotyczące waloryzacji wynagrodzenia w </w:t>
      </w:r>
      <w:r w:rsidR="00CA5405" w:rsidRPr="00CA5405">
        <w:rPr>
          <w:u w:val="single"/>
        </w:rPr>
        <w:t>§2 ust.</w:t>
      </w:r>
      <w:r w:rsidR="00CA5405" w:rsidRPr="00CA5405">
        <w:t xml:space="preserve"> </w:t>
      </w:r>
      <w:r w:rsidR="00CA5405" w:rsidRPr="00CA5405">
        <w:rPr>
          <w:u w:val="single"/>
        </w:rPr>
        <w:t>5-10</w:t>
      </w:r>
      <w:r w:rsidR="00CA5405" w:rsidRPr="00CA5405">
        <w:t xml:space="preserve"> wzoru umowy.</w:t>
      </w:r>
      <w:r w:rsidR="00CA5405">
        <w:rPr>
          <w:b/>
          <w:bCs/>
        </w:rPr>
        <w:t xml:space="preserve"> </w:t>
      </w:r>
    </w:p>
    <w:p w14:paraId="5AA0EC35" w14:textId="77777777" w:rsidR="00A35DAC" w:rsidRDefault="00A35DAC" w:rsidP="00A35DAC">
      <w:pPr>
        <w:keepLines/>
        <w:autoSpaceDE w:val="0"/>
        <w:adjustRightInd w:val="0"/>
        <w:jc w:val="both"/>
      </w:pPr>
    </w:p>
    <w:p w14:paraId="6A929A33" w14:textId="77777777" w:rsidR="00A35DAC" w:rsidRPr="00463B1F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7</w:t>
      </w:r>
    </w:p>
    <w:p w14:paraId="1532746A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Do §3 ust. 2, 3 wzoru umowy. Czy Zamawiający wyrazi zgodę na wydłużenie terminu realizacji dostaw</w:t>
      </w:r>
      <w:r>
        <w:t xml:space="preserve"> </w:t>
      </w:r>
      <w:r w:rsidRPr="00665438">
        <w:t>w trybie zwykłym do godziny 13.00, natomiast dostaw w trybie na cito do 8 godzin od momentu</w:t>
      </w:r>
      <w:r>
        <w:t xml:space="preserve"> </w:t>
      </w:r>
      <w:r w:rsidRPr="00665438">
        <w:t>otrzymania zamówienia?</w:t>
      </w:r>
    </w:p>
    <w:p w14:paraId="4BA8D0D6" w14:textId="77C6D082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="00CA5405">
        <w:rPr>
          <w:b/>
          <w:bCs/>
        </w:rPr>
        <w:t xml:space="preserve"> </w:t>
      </w:r>
      <w:r w:rsidR="00CA5405" w:rsidRPr="00CA5405">
        <w:t>Pozostają zapisy SWZ.</w:t>
      </w:r>
      <w:r w:rsidR="00CA5405">
        <w:rPr>
          <w:b/>
          <w:bCs/>
        </w:rPr>
        <w:t xml:space="preserve"> </w:t>
      </w:r>
    </w:p>
    <w:p w14:paraId="266082C7" w14:textId="77777777" w:rsidR="00A35DAC" w:rsidRDefault="00A35DAC" w:rsidP="00A35DAC">
      <w:pPr>
        <w:keepLines/>
        <w:autoSpaceDE w:val="0"/>
        <w:adjustRightInd w:val="0"/>
        <w:jc w:val="both"/>
      </w:pPr>
    </w:p>
    <w:p w14:paraId="5F85C862" w14:textId="77777777" w:rsidR="00A35DAC" w:rsidRPr="00463B1F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8</w:t>
      </w:r>
    </w:p>
    <w:p w14:paraId="2A654B5E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Do §4 ust. 5 wzoru umowy: Czy Zamawiający wyrazi zgodę na zmianę §4 ust. 5 wzoru umowy poprzez</w:t>
      </w:r>
      <w:r>
        <w:t xml:space="preserve"> </w:t>
      </w:r>
      <w:r w:rsidRPr="00665438">
        <w:t>dodanie zdania: „(…), chyba że inne okoliczności uzasadniają wystawienie większej ilości faktur (np.</w:t>
      </w:r>
      <w:r>
        <w:t xml:space="preserve"> </w:t>
      </w:r>
      <w:r w:rsidRPr="00665438">
        <w:t>odrębne faktury dla środków kontrolowanych, dla produktów przewożonych w niskiej temperaturze oraz</w:t>
      </w:r>
      <w:r>
        <w:t xml:space="preserve"> </w:t>
      </w:r>
      <w:r w:rsidRPr="00665438">
        <w:t>dla produktów zamawianych w ramach różnych umów łączących Wykonawcę z Zamawiającym)."?</w:t>
      </w:r>
    </w:p>
    <w:p w14:paraId="0B0920FB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Pr="00FD3D95">
        <w:t xml:space="preserve"> </w:t>
      </w:r>
      <w:r w:rsidRPr="00CA5405">
        <w:t>Pozostają zapisy SWZ.</w:t>
      </w:r>
    </w:p>
    <w:p w14:paraId="3A0EE0F7" w14:textId="77777777" w:rsidR="00A35DAC" w:rsidRDefault="00A35DAC" w:rsidP="00A35DAC">
      <w:pPr>
        <w:keepLines/>
        <w:autoSpaceDE w:val="0"/>
        <w:adjustRightInd w:val="0"/>
        <w:jc w:val="both"/>
      </w:pPr>
    </w:p>
    <w:p w14:paraId="67D938C6" w14:textId="77777777" w:rsidR="00A35DAC" w:rsidRPr="00463B1F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9</w:t>
      </w:r>
    </w:p>
    <w:p w14:paraId="1363E3FE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Do §6 ust. 2 wzoru umowy: Prosimy o dopisanie do §6 ust. 2 następującej treści: „Dostawy produktów z</w:t>
      </w:r>
      <w:r>
        <w:t xml:space="preserve"> </w:t>
      </w:r>
      <w:r w:rsidRPr="00665438">
        <w:t>krótszym terminem ważności mogą być dopuszczone w wyjątkowych sytuacjach i każdorazowo zgodę na</w:t>
      </w:r>
      <w:r>
        <w:t xml:space="preserve"> </w:t>
      </w:r>
      <w:r w:rsidRPr="00665438">
        <w:t>nie musi wyrazić upoważniony przedstawiciel Zamawiającego.".</w:t>
      </w:r>
    </w:p>
    <w:p w14:paraId="7A2E3580" w14:textId="213A0510" w:rsidR="00A35DAC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Pr="00FD3D95">
        <w:t xml:space="preserve"> </w:t>
      </w:r>
      <w:r w:rsidRPr="00CA5405">
        <w:t>Nie. Pozostają zapisy SWZ</w:t>
      </w:r>
      <w:r w:rsidR="00CA5405" w:rsidRPr="00CA5405">
        <w:t>.</w:t>
      </w:r>
    </w:p>
    <w:p w14:paraId="59C77279" w14:textId="77777777" w:rsidR="00A35DAC" w:rsidRDefault="00A35DAC" w:rsidP="00A35DAC">
      <w:pPr>
        <w:keepLines/>
        <w:autoSpaceDE w:val="0"/>
        <w:adjustRightInd w:val="0"/>
        <w:jc w:val="both"/>
      </w:pPr>
    </w:p>
    <w:p w14:paraId="537F7947" w14:textId="77777777" w:rsidR="00A35DAC" w:rsidRPr="00463B1F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10</w:t>
      </w:r>
    </w:p>
    <w:p w14:paraId="5C5C7328" w14:textId="77777777" w:rsidR="00A35DAC" w:rsidRPr="00665438" w:rsidRDefault="00A35DAC" w:rsidP="00A35DAC">
      <w:pPr>
        <w:keepLines/>
        <w:autoSpaceDE w:val="0"/>
        <w:adjustRightInd w:val="0"/>
        <w:jc w:val="both"/>
      </w:pPr>
      <w:r w:rsidRPr="00665438">
        <w:t xml:space="preserve">Do §7 ust. 1 </w:t>
      </w:r>
      <w:proofErr w:type="spellStart"/>
      <w:r w:rsidRPr="00665438">
        <w:t>tiret</w:t>
      </w:r>
      <w:proofErr w:type="spellEnd"/>
      <w:r w:rsidRPr="00665438">
        <w:t xml:space="preserve"> trzecie wzoru umowy. Czy Zamawiający wyrazi zgodę na obniżenie kary za</w:t>
      </w:r>
    </w:p>
    <w:p w14:paraId="61BAA19E" w14:textId="77777777" w:rsidR="00A35DAC" w:rsidRDefault="00A35DAC" w:rsidP="00A35DAC">
      <w:pPr>
        <w:keepLines/>
        <w:autoSpaceDE w:val="0"/>
        <w:adjustRightInd w:val="0"/>
        <w:jc w:val="both"/>
      </w:pPr>
      <w:r w:rsidRPr="00665438">
        <w:t>opóźnienie w realizacji dostawy w trybie na cito do wysokości 0,05% wartości brutto niezrealizowanej</w:t>
      </w:r>
      <w:r>
        <w:t xml:space="preserve"> </w:t>
      </w:r>
      <w:r w:rsidRPr="00665438">
        <w:t>dostawy za każdą godzinę zwłoki?</w:t>
      </w:r>
    </w:p>
    <w:p w14:paraId="4FD70D4E" w14:textId="43B7347F" w:rsidR="00A35DAC" w:rsidRPr="00CA5405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 w:rsidRPr="00FD3D95">
        <w:t xml:space="preserve"> </w:t>
      </w:r>
      <w:r w:rsidRPr="00CA5405">
        <w:t>Nie</w:t>
      </w:r>
      <w:r w:rsidR="00CA5405" w:rsidRPr="00CA5405">
        <w:t>. Pozostają zapisy SWZ.</w:t>
      </w:r>
    </w:p>
    <w:p w14:paraId="08263A30" w14:textId="77777777" w:rsidR="00A35DAC" w:rsidRPr="00665438" w:rsidRDefault="00A35DAC" w:rsidP="00A35DAC">
      <w:pPr>
        <w:keepLines/>
        <w:autoSpaceDE w:val="0"/>
        <w:adjustRightInd w:val="0"/>
        <w:jc w:val="both"/>
      </w:pPr>
    </w:p>
    <w:p w14:paraId="40F00E8D" w14:textId="77777777" w:rsidR="00CA5405" w:rsidRDefault="00A35DAC" w:rsidP="00CA5405">
      <w:pPr>
        <w:jc w:val="both"/>
        <w:rPr>
          <w:rFonts w:eastAsia="Times"/>
          <w:b/>
          <w:bCs/>
          <w:kern w:val="8"/>
          <w:lang w:eastAsia="en-US"/>
        </w:rPr>
      </w:pPr>
      <w:bookmarkStart w:id="3" w:name="_Hlk181181387"/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11</w:t>
      </w:r>
      <w:bookmarkEnd w:id="3"/>
    </w:p>
    <w:p w14:paraId="4A08E153" w14:textId="3D174648" w:rsidR="00A35DAC" w:rsidRPr="00CA5405" w:rsidRDefault="00A35DAC" w:rsidP="00CA5405">
      <w:pPr>
        <w:jc w:val="both"/>
        <w:rPr>
          <w:rFonts w:eastAsia="Times"/>
          <w:b/>
          <w:bCs/>
          <w:kern w:val="8"/>
          <w:lang w:eastAsia="en-US"/>
        </w:rPr>
      </w:pPr>
      <w:r w:rsidRPr="00D9118E">
        <w:t>Czy zamawiający zgadza się na zaoferowania w pakiecie 75 poz</w:t>
      </w:r>
      <w:r>
        <w:t>.</w:t>
      </w:r>
      <w:r w:rsidRPr="00D9118E">
        <w:t xml:space="preserve"> 2 zamiast worka trójkomorowego  do wkłucia centralnego bez elektrolitów o poj. 1477 ml zawierający 12 g azotu, energii niebiałkowej  1300 kcal. Zawierający mieszaninę 4 rodzajów emulsji tłuszczowej w tym olej rybi 15% , olej sojowy, MCT,</w:t>
      </w:r>
      <w:r>
        <w:t xml:space="preserve"> </w:t>
      </w:r>
      <w:r w:rsidRPr="00D9118E">
        <w:t>olej z oliwek, węglowodany,  objętość 1477ml x 4szt ? Worka trójkomorowy  do wkłucia centralnego z elektrolitami o poj. 1477 ml zawierający 12 g azotu , energii niebiałkowej  1300 kcal. Zawierający mieszaninę 4 rodzajów emulsji tłuszczowej w tym olej rybi 15%, olej sojowy, MCT,</w:t>
      </w:r>
      <w:r>
        <w:t xml:space="preserve"> </w:t>
      </w:r>
      <w:r w:rsidRPr="00D9118E">
        <w:t>olej z oliwek, węglowodany,              objętość 1477ml x 4szt?</w:t>
      </w:r>
    </w:p>
    <w:p w14:paraId="51B91B25" w14:textId="77777777" w:rsidR="00A35DAC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Pr="00D9118E">
        <w:t>Zamawiający wyraża zgodę.</w:t>
      </w:r>
      <w:r>
        <w:rPr>
          <w:b/>
          <w:bCs/>
        </w:rPr>
        <w:t xml:space="preserve"> </w:t>
      </w:r>
    </w:p>
    <w:p w14:paraId="45534D28" w14:textId="77777777" w:rsidR="00A35DAC" w:rsidRDefault="00A35DAC" w:rsidP="00A35DAC">
      <w:pPr>
        <w:keepLines/>
        <w:autoSpaceDE w:val="0"/>
        <w:adjustRightInd w:val="0"/>
        <w:jc w:val="both"/>
      </w:pPr>
    </w:p>
    <w:p w14:paraId="27C3D4E5" w14:textId="77777777" w:rsidR="00A35DAC" w:rsidRPr="00CA5405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CA5405">
        <w:rPr>
          <w:rFonts w:eastAsia="Times"/>
          <w:b/>
          <w:bCs/>
          <w:kern w:val="8"/>
          <w:lang w:eastAsia="en-US"/>
        </w:rPr>
        <w:t xml:space="preserve">Pytanie nr 12 </w:t>
      </w:r>
    </w:p>
    <w:p w14:paraId="1ECB151C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Poniższe pytania dotyczą opisu przedmiotu zamówienia w Pakiecie 34 poz. 5 w przedmiotowym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postępowaniu:</w:t>
      </w:r>
    </w:p>
    <w:p w14:paraId="6FF58452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Czy w Pakiecie 34 poz. 5 </w:t>
      </w:r>
      <w:bookmarkStart w:id="4" w:name="_Hlk181618053"/>
      <w:r w:rsidRPr="00205AD0">
        <w:rPr>
          <w:rFonts w:cs="Calibri"/>
          <w:color w:val="000000"/>
          <w:lang w:eastAsia="pl-PL"/>
        </w:rPr>
        <w:t>Zamawiający</w:t>
      </w:r>
      <w:bookmarkEnd w:id="4"/>
      <w:r w:rsidRPr="00205AD0">
        <w:rPr>
          <w:rFonts w:cs="Calibri"/>
          <w:color w:val="000000"/>
          <w:lang w:eastAsia="pl-PL"/>
        </w:rPr>
        <w:t xml:space="preserve"> dopuści produkt </w:t>
      </w:r>
      <w:proofErr w:type="spellStart"/>
      <w:r w:rsidRPr="00205AD0">
        <w:rPr>
          <w:rFonts w:cs="Calibri"/>
          <w:color w:val="000000"/>
          <w:lang w:eastAsia="pl-PL"/>
        </w:rPr>
        <w:t>ZinoDr</w:t>
      </w:r>
      <w:proofErr w:type="spellEnd"/>
      <w:r w:rsidRPr="00205AD0">
        <w:rPr>
          <w:rFonts w:cs="Calibri"/>
          <w:color w:val="000000"/>
          <w:lang w:eastAsia="pl-PL"/>
        </w:rPr>
        <w:t xml:space="preserve">. Zasypka zawierający </w:t>
      </w:r>
      <w:proofErr w:type="spellStart"/>
      <w:r w:rsidRPr="00205AD0">
        <w:rPr>
          <w:rFonts w:cs="Calibri"/>
          <w:color w:val="000000"/>
          <w:lang w:eastAsia="pl-PL"/>
        </w:rPr>
        <w:t>Talc</w:t>
      </w:r>
      <w:proofErr w:type="spellEnd"/>
      <w:r w:rsidRPr="00205AD0">
        <w:rPr>
          <w:rFonts w:cs="Calibri"/>
          <w:color w:val="000000"/>
          <w:lang w:eastAsia="pl-PL"/>
        </w:rPr>
        <w:t xml:space="preserve">, </w:t>
      </w:r>
      <w:proofErr w:type="spellStart"/>
      <w:r w:rsidRPr="00205AD0">
        <w:rPr>
          <w:rFonts w:cs="Calibri"/>
          <w:color w:val="000000"/>
          <w:lang w:eastAsia="pl-PL"/>
        </w:rPr>
        <w:t>Solanum</w:t>
      </w:r>
      <w:proofErr w:type="spellEnd"/>
      <w:r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Tuberosum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Starch</w:t>
      </w:r>
      <w:proofErr w:type="spellEnd"/>
      <w:r w:rsidRPr="00205AD0">
        <w:rPr>
          <w:rFonts w:cs="Calibri"/>
          <w:color w:val="000000"/>
          <w:lang w:eastAsia="pl-PL"/>
        </w:rPr>
        <w:t xml:space="preserve">, </w:t>
      </w:r>
      <w:proofErr w:type="spellStart"/>
      <w:r w:rsidRPr="00205AD0">
        <w:rPr>
          <w:rFonts w:cs="Calibri"/>
          <w:color w:val="000000"/>
          <w:lang w:eastAsia="pl-PL"/>
        </w:rPr>
        <w:t>Zinc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Oxide</w:t>
      </w:r>
      <w:proofErr w:type="spellEnd"/>
      <w:r w:rsidRPr="00205AD0">
        <w:rPr>
          <w:rFonts w:cs="Calibri"/>
          <w:color w:val="000000"/>
          <w:lang w:eastAsia="pl-PL"/>
        </w:rPr>
        <w:t>, Allantoin?</w:t>
      </w:r>
    </w:p>
    <w:p w14:paraId="38E243FD" w14:textId="3F4F7EDD" w:rsidR="00A35DAC" w:rsidRPr="0082609F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65438">
        <w:rPr>
          <w:b/>
          <w:bCs/>
        </w:rPr>
        <w:t>Odpowiedź:</w:t>
      </w:r>
      <w:r w:rsidRPr="0082609F">
        <w:t xml:space="preserve"> </w:t>
      </w:r>
      <w:r w:rsidR="00CA5405">
        <w:t xml:space="preserve">Nie. </w:t>
      </w:r>
      <w:r w:rsidR="00170004">
        <w:t>Należy zaoferować</w:t>
      </w:r>
      <w:r w:rsidRPr="00CA5405">
        <w:t xml:space="preserve"> lek lub wyr</w:t>
      </w:r>
      <w:r w:rsidR="00170004">
        <w:t>ób</w:t>
      </w:r>
      <w:r w:rsidRPr="00CA5405">
        <w:t xml:space="preserve"> medyczn</w:t>
      </w:r>
      <w:r w:rsidR="00170004">
        <w:t>y</w:t>
      </w:r>
      <w:r w:rsidRPr="00CA5405">
        <w:t>.</w:t>
      </w:r>
      <w:r w:rsidRPr="0082609F">
        <w:rPr>
          <w:b/>
          <w:bCs/>
        </w:rPr>
        <w:t xml:space="preserve"> </w:t>
      </w:r>
    </w:p>
    <w:p w14:paraId="5B5700AC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33C1B66E" w14:textId="77777777" w:rsidR="00A35DAC" w:rsidRPr="00CA5405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bookmarkStart w:id="5" w:name="_Hlk181181775"/>
      <w:r w:rsidRPr="00CA5405">
        <w:rPr>
          <w:rFonts w:eastAsia="Times"/>
          <w:b/>
          <w:bCs/>
          <w:kern w:val="8"/>
          <w:lang w:eastAsia="en-US"/>
        </w:rPr>
        <w:t>Pytanie nr 13</w:t>
      </w:r>
    </w:p>
    <w:bookmarkEnd w:id="5"/>
    <w:p w14:paraId="29805BAD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Poniższe pytania dotyczą opisu przedmiotu zamówienia w Pakiecie 43 poz. 37 w przedmiotowym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postępowaniu:</w:t>
      </w:r>
    </w:p>
    <w:p w14:paraId="3C49BACA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Czy w Pakiecie 43 poz. 37 Zamawiający dopuści zaoferowanie produktu </w:t>
      </w:r>
      <w:proofErr w:type="spellStart"/>
      <w:r w:rsidRPr="00205AD0">
        <w:rPr>
          <w:rFonts w:cs="Calibri"/>
          <w:color w:val="000000"/>
          <w:lang w:eastAsia="pl-PL"/>
        </w:rPr>
        <w:t>EnteroDr</w:t>
      </w:r>
      <w:proofErr w:type="spellEnd"/>
      <w:r w:rsidRPr="00205AD0">
        <w:rPr>
          <w:rFonts w:cs="Calibri"/>
          <w:color w:val="000000"/>
          <w:lang w:eastAsia="pl-PL"/>
        </w:rPr>
        <w:t>, również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zawierającego 250mg kultur drożdżaków </w:t>
      </w:r>
      <w:proofErr w:type="spellStart"/>
      <w:r w:rsidRPr="00205AD0">
        <w:rPr>
          <w:rFonts w:cs="Calibri"/>
          <w:color w:val="000000"/>
          <w:lang w:eastAsia="pl-PL"/>
        </w:rPr>
        <w:t>Saccharomyces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boulardii</w:t>
      </w:r>
      <w:proofErr w:type="spellEnd"/>
      <w:r w:rsidRPr="00205AD0">
        <w:rPr>
          <w:rFonts w:cs="Calibri"/>
          <w:color w:val="000000"/>
          <w:lang w:eastAsia="pl-PL"/>
        </w:rPr>
        <w:t xml:space="preserve"> w kapsułce? Produkt konfekcjonowany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w op. x 20 kaps. (prosimy o możliwość przeliczenia na odpowiednia liczbę opakowań). Produkt nie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zawiera laktozy i może być podawany osobom nietolerującym tego składnika. Poniżej tabela porównująca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oba produkty:</w:t>
      </w:r>
    </w:p>
    <w:p w14:paraId="738FA109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produkt </w:t>
      </w:r>
      <w:proofErr w:type="spellStart"/>
      <w:r w:rsidRPr="00205AD0">
        <w:rPr>
          <w:rFonts w:cs="Calibri"/>
          <w:color w:val="000000"/>
          <w:lang w:eastAsia="pl-PL"/>
        </w:rPr>
        <w:t>Enterol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EnteroDr</w:t>
      </w:r>
      <w:proofErr w:type="spellEnd"/>
      <w:r>
        <w:rPr>
          <w:rFonts w:cs="Calibri"/>
          <w:color w:val="000000"/>
          <w:lang w:eastAsia="pl-PL"/>
        </w:rPr>
        <w:t xml:space="preserve"> </w:t>
      </w:r>
    </w:p>
    <w:p w14:paraId="6821C550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postać kapsułki </w:t>
      </w:r>
      <w:proofErr w:type="spellStart"/>
      <w:r w:rsidRPr="00205AD0">
        <w:rPr>
          <w:rFonts w:cs="Calibri"/>
          <w:color w:val="000000"/>
          <w:lang w:eastAsia="pl-PL"/>
        </w:rPr>
        <w:t>kapsułki</w:t>
      </w:r>
      <w:proofErr w:type="spellEnd"/>
    </w:p>
    <w:p w14:paraId="729B6F64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zawartość bakterii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Kultury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drożdży </w:t>
      </w:r>
      <w:proofErr w:type="spellStart"/>
      <w:r w:rsidRPr="00205AD0">
        <w:rPr>
          <w:rFonts w:cs="Calibri"/>
          <w:color w:val="000000"/>
          <w:lang w:eastAsia="pl-PL"/>
        </w:rPr>
        <w:t>Saccharomyces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boulardii</w:t>
      </w:r>
      <w:proofErr w:type="spellEnd"/>
      <w:r w:rsidRPr="00205AD0">
        <w:rPr>
          <w:rFonts w:cs="Calibri"/>
          <w:color w:val="000000"/>
          <w:lang w:eastAsia="pl-PL"/>
        </w:rPr>
        <w:t xml:space="preserve"> CNCM I-745,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Kultury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drożdży </w:t>
      </w:r>
      <w:proofErr w:type="spellStart"/>
      <w:r w:rsidRPr="00205AD0">
        <w:rPr>
          <w:rFonts w:cs="Calibri"/>
          <w:color w:val="000000"/>
          <w:lang w:eastAsia="pl-PL"/>
        </w:rPr>
        <w:t>Saccharomyces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boulardii</w:t>
      </w:r>
      <w:proofErr w:type="spellEnd"/>
      <w:r w:rsidRPr="00205AD0">
        <w:rPr>
          <w:rFonts w:cs="Calibri"/>
          <w:color w:val="000000"/>
          <w:lang w:eastAsia="pl-PL"/>
        </w:rPr>
        <w:t xml:space="preserve"> DBVPG 6763 (szczep identyczny z CNCM I-745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w badaniach genotypowych)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stężenie/pojedyncza dawka stężenie 5 x 109 CFU/ kaps (250mg/ kaps) stężenie 5 x 109 CFU/ kaps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(250mg/ kaps)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główne wskazanie do stosowania zaburzenia mikroflory jelitowej u dzieci i osób dorosłych w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biegunkach o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różnej etiologii zaburzenia mikroflory jelitowej u dzieci i osób dorosłych w biegunkach o różnej etiologii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możliwość przechowywania poza lodówką tak </w:t>
      </w:r>
      <w:proofErr w:type="spellStart"/>
      <w:r w:rsidRPr="00205AD0">
        <w:rPr>
          <w:rFonts w:cs="Calibri"/>
          <w:color w:val="000000"/>
          <w:lang w:eastAsia="pl-PL"/>
        </w:rPr>
        <w:t>tak</w:t>
      </w:r>
      <w:proofErr w:type="spellEnd"/>
    </w:p>
    <w:p w14:paraId="500D4DA8" w14:textId="27EF0FCC" w:rsidR="00A35DAC" w:rsidRPr="0082609F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Pr="0082609F">
        <w:t xml:space="preserve">Nie, </w:t>
      </w:r>
      <w:r w:rsidR="00170004">
        <w:t xml:space="preserve">należy zaoferować lek. </w:t>
      </w:r>
      <w:r w:rsidRPr="0082609F">
        <w:t xml:space="preserve"> </w:t>
      </w:r>
    </w:p>
    <w:p w14:paraId="43C307F8" w14:textId="77777777" w:rsidR="00A35DAC" w:rsidRDefault="00A35DAC" w:rsidP="00A35DAC">
      <w:pPr>
        <w:keepLines/>
        <w:autoSpaceDE w:val="0"/>
        <w:adjustRightInd w:val="0"/>
        <w:rPr>
          <w:rFonts w:cs="Calibri"/>
          <w:color w:val="000000"/>
          <w:lang w:eastAsia="pl-PL"/>
        </w:rPr>
      </w:pPr>
    </w:p>
    <w:p w14:paraId="2C158CE9" w14:textId="77777777" w:rsidR="00A35DAC" w:rsidRPr="00CA5405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CA5405">
        <w:rPr>
          <w:rFonts w:eastAsia="Times"/>
          <w:b/>
          <w:bCs/>
          <w:kern w:val="8"/>
          <w:lang w:eastAsia="en-US"/>
        </w:rPr>
        <w:t>Pytanie nr 14</w:t>
      </w:r>
    </w:p>
    <w:p w14:paraId="51CB9BFD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Poniższe pytania dotyczą opisu przedmiotu zamówienia w Pakiecie 40 poz. 9 w przedmiotowym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postępowaniu:</w:t>
      </w:r>
    </w:p>
    <w:p w14:paraId="0B2C0E7B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Czy w Pakiecie nr 40 poz. 9 Zamawiający dopuści zaoferowanie produktu </w:t>
      </w:r>
      <w:proofErr w:type="spellStart"/>
      <w:r w:rsidRPr="00205AD0">
        <w:rPr>
          <w:rFonts w:cs="Calibri"/>
          <w:color w:val="000000"/>
          <w:lang w:eastAsia="pl-PL"/>
        </w:rPr>
        <w:t>ProbioDr</w:t>
      </w:r>
      <w:proofErr w:type="spellEnd"/>
      <w:r w:rsidRPr="00205AD0">
        <w:rPr>
          <w:rFonts w:cs="Calibri"/>
          <w:color w:val="000000"/>
          <w:lang w:eastAsia="pl-PL"/>
        </w:rPr>
        <w:t>, zawierającego 2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mld CFU najlepiej przebadanego pod względem klinicznym szczepu bakterii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rhamnosus</w:t>
      </w:r>
      <w:proofErr w:type="spellEnd"/>
      <w:r w:rsidRPr="00205AD0">
        <w:rPr>
          <w:rFonts w:cs="Calibri"/>
          <w:color w:val="000000"/>
          <w:lang w:eastAsia="pl-PL"/>
        </w:rPr>
        <w:t xml:space="preserve"> GG ATCC53103 i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helveticus</w:t>
      </w:r>
      <w:proofErr w:type="spellEnd"/>
      <w:r w:rsidRPr="00205AD0">
        <w:rPr>
          <w:rFonts w:cs="Calibri"/>
          <w:color w:val="000000"/>
          <w:lang w:eastAsia="pl-PL"/>
        </w:rPr>
        <w:t xml:space="preserve"> w łącznym stężeniu 2 mld CFU/ kaps,? Poniżej tabela</w:t>
      </w:r>
    </w:p>
    <w:p w14:paraId="343448CB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porównująca oba produkty:</w:t>
      </w:r>
    </w:p>
    <w:p w14:paraId="54D971DB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produkt </w:t>
      </w:r>
      <w:proofErr w:type="spellStart"/>
      <w:r w:rsidRPr="00205AD0">
        <w:rPr>
          <w:rFonts w:cs="Calibri"/>
          <w:color w:val="000000"/>
          <w:lang w:eastAsia="pl-PL"/>
        </w:rPr>
        <w:t>Lacodofil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ProbioDr</w:t>
      </w:r>
      <w:proofErr w:type="spellEnd"/>
    </w:p>
    <w:p w14:paraId="34F1BDCB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postać kapsułki twarde kapsułki twarde</w:t>
      </w:r>
    </w:p>
    <w:p w14:paraId="390AE96A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 xml:space="preserve">zawartość bakterii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kultury bakterii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kwasu mlekowego</w:t>
      </w:r>
      <w:r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rhamnosus</w:t>
      </w:r>
      <w:proofErr w:type="spellEnd"/>
      <w:r w:rsidRPr="00205AD0">
        <w:rPr>
          <w:rFonts w:cs="Calibri"/>
          <w:color w:val="000000"/>
          <w:lang w:eastAsia="pl-PL"/>
        </w:rPr>
        <w:t xml:space="preserve"> i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helveticus</w:t>
      </w:r>
      <w:proofErr w:type="spellEnd"/>
      <w:r w:rsidRPr="00205AD0">
        <w:rPr>
          <w:rFonts w:cs="Calibri"/>
          <w:color w:val="000000"/>
          <w:lang w:eastAsia="pl-PL"/>
        </w:rPr>
        <w:t xml:space="preserve">, stężenie 2 x 109 CFU/ kaps kultury bakterii </w:t>
      </w:r>
      <w:proofErr w:type="spellStart"/>
      <w:r w:rsidRPr="00205AD0">
        <w:rPr>
          <w:rFonts w:cs="Calibri"/>
          <w:color w:val="000000"/>
          <w:lang w:eastAsia="pl-PL"/>
        </w:rPr>
        <w:t>probiotycznych</w:t>
      </w:r>
      <w:proofErr w:type="spellEnd"/>
      <w:r w:rsidRPr="00205AD0">
        <w:rPr>
          <w:rFonts w:cs="Calibri"/>
          <w:color w:val="000000"/>
          <w:lang w:eastAsia="pl-PL"/>
        </w:rPr>
        <w:t xml:space="preserve"> kwasu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mlekowego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rhamnosus</w:t>
      </w:r>
      <w:proofErr w:type="spellEnd"/>
      <w:r w:rsidRPr="00205AD0">
        <w:rPr>
          <w:rFonts w:cs="Calibri"/>
          <w:color w:val="000000"/>
          <w:lang w:eastAsia="pl-PL"/>
        </w:rPr>
        <w:t xml:space="preserve"> i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helveticus</w:t>
      </w:r>
      <w:proofErr w:type="spellEnd"/>
      <w:r w:rsidRPr="00205AD0">
        <w:rPr>
          <w:rFonts w:cs="Calibri"/>
          <w:color w:val="000000"/>
          <w:lang w:eastAsia="pl-PL"/>
        </w:rPr>
        <w:t>, stężenie 2 x 109 CFU/ kaps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stosunek ilościowy szczepów bakterii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rhamnosus</w:t>
      </w:r>
      <w:proofErr w:type="spellEnd"/>
      <w:r w:rsidRPr="00205AD0">
        <w:rPr>
          <w:rFonts w:cs="Calibri"/>
          <w:color w:val="000000"/>
          <w:lang w:eastAsia="pl-PL"/>
        </w:rPr>
        <w:t xml:space="preserve"> 95%: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helveticus</w:t>
      </w:r>
      <w:proofErr w:type="spellEnd"/>
      <w:r w:rsidRPr="00205AD0">
        <w:rPr>
          <w:rFonts w:cs="Calibri"/>
          <w:color w:val="000000"/>
          <w:lang w:eastAsia="pl-PL"/>
        </w:rPr>
        <w:t xml:space="preserve"> 5%</w:t>
      </w:r>
      <w:r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rhamnosus</w:t>
      </w:r>
      <w:proofErr w:type="spellEnd"/>
      <w:r w:rsidRPr="00205AD0">
        <w:rPr>
          <w:rFonts w:cs="Calibri"/>
          <w:color w:val="000000"/>
          <w:lang w:eastAsia="pl-PL"/>
        </w:rPr>
        <w:t xml:space="preserve"> 95%: </w:t>
      </w:r>
      <w:proofErr w:type="spellStart"/>
      <w:r w:rsidRPr="00205AD0">
        <w:rPr>
          <w:rFonts w:cs="Calibri"/>
          <w:color w:val="000000"/>
          <w:lang w:eastAsia="pl-PL"/>
        </w:rPr>
        <w:t>Lactobacillus</w:t>
      </w:r>
      <w:proofErr w:type="spellEnd"/>
      <w:r w:rsidRPr="00205AD0">
        <w:rPr>
          <w:rFonts w:cs="Calibri"/>
          <w:color w:val="000000"/>
          <w:lang w:eastAsia="pl-PL"/>
        </w:rPr>
        <w:t xml:space="preserve"> </w:t>
      </w:r>
      <w:proofErr w:type="spellStart"/>
      <w:r w:rsidRPr="00205AD0">
        <w:rPr>
          <w:rFonts w:cs="Calibri"/>
          <w:color w:val="000000"/>
          <w:lang w:eastAsia="pl-PL"/>
        </w:rPr>
        <w:t>helveticus</w:t>
      </w:r>
      <w:proofErr w:type="spellEnd"/>
      <w:r w:rsidRPr="00205AD0">
        <w:rPr>
          <w:rFonts w:cs="Calibri"/>
          <w:color w:val="000000"/>
          <w:lang w:eastAsia="pl-PL"/>
        </w:rPr>
        <w:t xml:space="preserve"> 5%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główne wskazanie do stosowania zaburzenia mikroflory jelitowej u dzieci i osób dorosłych zaburzenia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mikroflory jelitowej u dzieci i osób dorosłych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 xml:space="preserve">możliwość przechowywania poza lodówką tak </w:t>
      </w:r>
      <w:proofErr w:type="spellStart"/>
      <w:r w:rsidRPr="00205AD0">
        <w:rPr>
          <w:rFonts w:cs="Calibri"/>
          <w:color w:val="000000"/>
          <w:lang w:eastAsia="pl-PL"/>
        </w:rPr>
        <w:t>tak</w:t>
      </w:r>
      <w:proofErr w:type="spellEnd"/>
    </w:p>
    <w:p w14:paraId="72A96B16" w14:textId="330052D8" w:rsidR="00A35DAC" w:rsidRPr="0082609F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Pr="0082609F">
        <w:t xml:space="preserve">Nie, </w:t>
      </w:r>
      <w:r w:rsidR="00170004">
        <w:t>należy zaoferować</w:t>
      </w:r>
      <w:r w:rsidRPr="0082609F">
        <w:t xml:space="preserve"> produkt zarejestrowan</w:t>
      </w:r>
      <w:r w:rsidR="00170004">
        <w:t xml:space="preserve">y </w:t>
      </w:r>
      <w:r w:rsidRPr="0082609F">
        <w:t xml:space="preserve">jako lek. </w:t>
      </w:r>
    </w:p>
    <w:p w14:paraId="47D9768A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7CA564B2" w14:textId="77777777" w:rsidR="00A35DAC" w:rsidRPr="00205AD0" w:rsidRDefault="00A35DAC" w:rsidP="00A35DAC">
      <w:pPr>
        <w:jc w:val="both"/>
        <w:rPr>
          <w:rFonts w:eastAsia="Times"/>
          <w:b/>
          <w:bCs/>
          <w:kern w:val="8"/>
          <w:lang w:eastAsia="en-US"/>
        </w:rPr>
      </w:pPr>
      <w:r w:rsidRPr="00B83503">
        <w:rPr>
          <w:rFonts w:eastAsia="Times"/>
          <w:b/>
          <w:bCs/>
          <w:kern w:val="8"/>
          <w:lang w:eastAsia="en-US"/>
        </w:rPr>
        <w:t xml:space="preserve">Pytanie nr </w:t>
      </w:r>
      <w:r>
        <w:rPr>
          <w:rFonts w:eastAsia="Times"/>
          <w:b/>
          <w:bCs/>
          <w:kern w:val="8"/>
          <w:lang w:eastAsia="en-US"/>
        </w:rPr>
        <w:t>15</w:t>
      </w:r>
    </w:p>
    <w:p w14:paraId="7014F553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205AD0">
        <w:rPr>
          <w:rFonts w:cs="Calibri"/>
          <w:color w:val="000000"/>
          <w:lang w:eastAsia="pl-PL"/>
        </w:rPr>
        <w:t>Poniższe pytania dotyczą opisu przedmiotu zamówienia w Pakiecie 82 poz. 2 w przedmiotowym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postępowaniu:</w:t>
      </w:r>
    </w:p>
    <w:p w14:paraId="6F146A4F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1</w:t>
      </w:r>
      <w:r w:rsidRPr="00205AD0">
        <w:rPr>
          <w:rFonts w:cs="Calibri"/>
          <w:color w:val="000000"/>
          <w:lang w:eastAsia="pl-PL"/>
        </w:rPr>
        <w:t>. Czy w Pakiecie 82 poz. 2 Zamawiający dopuści zaoferowanie glukozy 75 g - będącej dietetycznym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środkiem spożywczym specjalnego przeznaczenia medycznego do postępowania dietetycznego w celu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wykonania krzywej cukrowej? Surowiec stosowany do produkcji jest surowcem farmaceutycznym. Nie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zawiera substancji barwiących ani innych dodatków, które wpływają na wchłanianie i metabolizm glukozy.</w:t>
      </w:r>
    </w:p>
    <w:p w14:paraId="7D3F4DF5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Pr="0082609F">
        <w:t>Pozostają zapisy SWZ.</w:t>
      </w:r>
      <w:r>
        <w:rPr>
          <w:b/>
          <w:bCs/>
        </w:rPr>
        <w:t xml:space="preserve"> </w:t>
      </w:r>
    </w:p>
    <w:p w14:paraId="64676127" w14:textId="77777777" w:rsidR="00A35DAC" w:rsidRPr="00205AD0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6D06FC45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CA5405">
        <w:rPr>
          <w:rFonts w:cs="Calibri"/>
          <w:lang w:eastAsia="pl-PL"/>
        </w:rPr>
        <w:t xml:space="preserve">2. Czy w Pakiecie 82 poz. 2 </w:t>
      </w:r>
      <w:r w:rsidRPr="00205AD0">
        <w:rPr>
          <w:rFonts w:cs="Calibri"/>
          <w:color w:val="000000"/>
          <w:lang w:eastAsia="pl-PL"/>
        </w:rPr>
        <w:t>spożywczym specjalnego przeznaczenia medycznego do postępowania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dietetycznego w celu wykonania krzywej cukrowej? Surowiec stosowany do produkcji jest surowcem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farmaceutycznym. Nie zawiera substancji barwiących ani innych dodatków, które wpływają na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wchłanianie i metabolizm glukozy. Oferowany preparat, ze względu na walory smakowe zmniejsza</w:t>
      </w:r>
      <w:r>
        <w:rPr>
          <w:rFonts w:cs="Calibri"/>
          <w:color w:val="000000"/>
          <w:lang w:eastAsia="pl-PL"/>
        </w:rPr>
        <w:t xml:space="preserve"> </w:t>
      </w:r>
      <w:r w:rsidRPr="00205AD0">
        <w:rPr>
          <w:rFonts w:cs="Calibri"/>
          <w:color w:val="000000"/>
          <w:lang w:eastAsia="pl-PL"/>
        </w:rPr>
        <w:t>uczucie nudności, znacznie ułatwiając wykonanie testu.</w:t>
      </w:r>
    </w:p>
    <w:p w14:paraId="4008C5F9" w14:textId="2FC2895D" w:rsidR="00A35DAC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bookmarkStart w:id="6" w:name="_Hlk181616507"/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="00170004">
        <w:t>Należy zaoferować</w:t>
      </w:r>
      <w:r w:rsidRPr="00CA5405">
        <w:t xml:space="preserve"> </w:t>
      </w:r>
      <w:r w:rsidR="00CA5405" w:rsidRPr="00CA5405">
        <w:t>produkt zarejestrowan</w:t>
      </w:r>
      <w:r w:rsidR="00170004">
        <w:t>y</w:t>
      </w:r>
      <w:r w:rsidR="00CA5405" w:rsidRPr="00CA5405">
        <w:t xml:space="preserve"> jako </w:t>
      </w:r>
      <w:r w:rsidRPr="00CA5405">
        <w:t>lek lub surowiec recepturowy.</w:t>
      </w:r>
      <w:r>
        <w:rPr>
          <w:b/>
          <w:bCs/>
        </w:rPr>
        <w:t xml:space="preserve"> </w:t>
      </w:r>
    </w:p>
    <w:p w14:paraId="1CDE45DD" w14:textId="77777777" w:rsidR="00CA5405" w:rsidRDefault="00CA5405" w:rsidP="00A35DAC">
      <w:pPr>
        <w:keepLines/>
        <w:autoSpaceDE w:val="0"/>
        <w:adjustRightInd w:val="0"/>
        <w:jc w:val="both"/>
        <w:rPr>
          <w:b/>
          <w:bCs/>
        </w:rPr>
      </w:pPr>
    </w:p>
    <w:bookmarkEnd w:id="6"/>
    <w:p w14:paraId="2B9FB24E" w14:textId="77777777" w:rsidR="00A35DAC" w:rsidRPr="00CA5405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r w:rsidRPr="00CA5405">
        <w:rPr>
          <w:b/>
          <w:bCs/>
        </w:rPr>
        <w:t>Pytanie nr 16</w:t>
      </w:r>
    </w:p>
    <w:p w14:paraId="288833CD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Dotyczy Pakietu nr 94</w:t>
      </w:r>
    </w:p>
    <w:p w14:paraId="0C3814AB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Lek </w:t>
      </w:r>
      <w:proofErr w:type="spellStart"/>
      <w:r w:rsidRPr="00644F23">
        <w:rPr>
          <w:rFonts w:cs="Calibri"/>
          <w:color w:val="000000"/>
          <w:lang w:eastAsia="pl-PL"/>
        </w:rPr>
        <w:t>Andeksanet</w:t>
      </w:r>
      <w:proofErr w:type="spellEnd"/>
      <w:r w:rsidRPr="00644F23">
        <w:rPr>
          <w:rFonts w:cs="Calibri"/>
          <w:color w:val="000000"/>
          <w:lang w:eastAsia="pl-PL"/>
        </w:rPr>
        <w:t xml:space="preserve"> alfa jest konfekcjonowany w opakowaniach (1op./5 fiolek po 200mg). Kod GTIN: 05000456079877. Jest to jedyna forma dostępna w obrocie w Polsce. Zamówienia mogą być realizowane wyłącznie w pełnych opakowaniach.</w:t>
      </w:r>
    </w:p>
    <w:p w14:paraId="5E7DABC0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>Prosimy o doprecyzowanie, czy zamawiający w Pakiecie nr 94 oczekuje wyceny 4 opakowań po 5 fiolek każde.</w:t>
      </w:r>
    </w:p>
    <w:p w14:paraId="1632D778" w14:textId="77777777" w:rsidR="00A35DAC" w:rsidRPr="00C73BD8" w:rsidRDefault="00A35DAC" w:rsidP="00A35DAC">
      <w:pPr>
        <w:keepLines/>
        <w:autoSpaceDE w:val="0"/>
        <w:adjustRightInd w:val="0"/>
        <w:jc w:val="both"/>
      </w:pPr>
      <w:bookmarkStart w:id="7" w:name="_Hlk181616570"/>
      <w:r w:rsidRPr="00665438">
        <w:rPr>
          <w:b/>
          <w:bCs/>
        </w:rPr>
        <w:t>Odpowiedź:</w:t>
      </w:r>
      <w:r>
        <w:rPr>
          <w:b/>
          <w:bCs/>
        </w:rPr>
        <w:t xml:space="preserve">  </w:t>
      </w:r>
      <w:r w:rsidRPr="00C73BD8">
        <w:t>Tak, proszę wycenić 4 opakowania po 5 fiolek.</w:t>
      </w:r>
    </w:p>
    <w:bookmarkEnd w:id="7"/>
    <w:p w14:paraId="3780CD98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635C0021" w14:textId="77777777" w:rsidR="00A35DAC" w:rsidRPr="00C73BD8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lang w:eastAsia="pl-PL"/>
        </w:rPr>
      </w:pPr>
      <w:bookmarkStart w:id="8" w:name="_Hlk181616606"/>
      <w:r w:rsidRPr="00C73BD8">
        <w:rPr>
          <w:rFonts w:cs="Calibri"/>
          <w:b/>
          <w:bCs/>
          <w:lang w:eastAsia="pl-PL"/>
        </w:rPr>
        <w:t>Pytanie nr 17</w:t>
      </w:r>
    </w:p>
    <w:p w14:paraId="5B7DEFDE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9" w:name="_Hlk181616622"/>
      <w:bookmarkEnd w:id="8"/>
      <w:r w:rsidRPr="00644F23">
        <w:rPr>
          <w:rFonts w:cs="Calibri"/>
          <w:b/>
          <w:bCs/>
          <w:color w:val="000000"/>
          <w:lang w:eastAsia="pl-PL"/>
        </w:rPr>
        <w:t>Dotyczy pakietu 41 wapno sodowane</w:t>
      </w:r>
    </w:p>
    <w:bookmarkEnd w:id="9"/>
    <w:p w14:paraId="0967F77C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>W związku z tym, że na ryku polskim pojawiły się wapna niedopuszczone przez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Farmakopee, czy Zamawiający wymaga, aby dostarczane wapno było wapnem medycznym,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dopuszczonym przez farmakopee brytyjską i amerykańską, o chłonności od 120 do 180 L/kg w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zależności od użytkowania, które w swoim składzie nie przekracza 3% NaOH, oraz których stopień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pylenia nie przekracza 0,3%? Wyższe stężenia NaOH powodują nadmierne wysychanie wapna, co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pogarsza jego właściwości pochłaniania ?</w:t>
      </w:r>
    </w:p>
    <w:p w14:paraId="748E0FBC" w14:textId="788F6EFE" w:rsidR="00A35DAC" w:rsidRPr="00C73BD8" w:rsidRDefault="00A35DAC" w:rsidP="00A35DAC">
      <w:pPr>
        <w:keepLines/>
        <w:autoSpaceDE w:val="0"/>
        <w:adjustRightInd w:val="0"/>
        <w:jc w:val="both"/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="00170004">
        <w:t>Należy zaoferować</w:t>
      </w:r>
      <w:r w:rsidRPr="00C73BD8">
        <w:t xml:space="preserve"> wapn</w:t>
      </w:r>
      <w:r w:rsidR="00170004">
        <w:t>o</w:t>
      </w:r>
      <w:r w:rsidRPr="00C73BD8">
        <w:t xml:space="preserve"> medyczne zgodne z </w:t>
      </w:r>
      <w:r w:rsidR="00C73BD8" w:rsidRPr="00C73BD8">
        <w:t>Farmakope</w:t>
      </w:r>
      <w:r w:rsidR="00C73BD8">
        <w:t>o.</w:t>
      </w:r>
    </w:p>
    <w:p w14:paraId="08FE8846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27BEAB57" w14:textId="77777777" w:rsidR="00A35DAC" w:rsidRPr="00C73BD8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lang w:eastAsia="pl-PL"/>
        </w:rPr>
      </w:pPr>
      <w:bookmarkStart w:id="10" w:name="_Hlk181616657"/>
      <w:r w:rsidRPr="00C73BD8">
        <w:rPr>
          <w:rFonts w:cs="Calibri"/>
          <w:b/>
          <w:bCs/>
          <w:lang w:eastAsia="pl-PL"/>
        </w:rPr>
        <w:t>Pytanie nr 18</w:t>
      </w:r>
    </w:p>
    <w:p w14:paraId="58BFEE23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1" w:name="_Hlk181616693"/>
      <w:bookmarkEnd w:id="10"/>
      <w:r w:rsidRPr="00644F23">
        <w:rPr>
          <w:rFonts w:cs="Calibri"/>
          <w:b/>
          <w:bCs/>
          <w:color w:val="000000"/>
          <w:lang w:eastAsia="pl-PL"/>
        </w:rPr>
        <w:t>Dotyczy pakietu 41 wapno sodowane</w:t>
      </w:r>
    </w:p>
    <w:bookmarkEnd w:id="11"/>
    <w:p w14:paraId="561FA422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>Czy zamawiający będzie wymagał wapna w opakowaniach najczęściej oferowanych przez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renomowanych producentów pochłaniaczy czyli 4,5 kg / 5L. Wapno oferowane w większych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pojemnościach (5kg) cechuje się złą jakością produktu, nieregularnym kształtem oraz brakiem</w:t>
      </w:r>
      <w:r>
        <w:rPr>
          <w:rFonts w:cs="Calibri"/>
          <w:color w:val="000000"/>
          <w:lang w:eastAsia="pl-PL"/>
        </w:rPr>
        <w:t xml:space="preserve"> </w:t>
      </w:r>
      <w:r w:rsidRPr="00644F23">
        <w:rPr>
          <w:rFonts w:cs="Calibri"/>
          <w:color w:val="000000"/>
          <w:lang w:eastAsia="pl-PL"/>
        </w:rPr>
        <w:t>odpowiedniego upakowania oraz nie ma przełożenia na większa pochłanialność CO2?</w:t>
      </w:r>
    </w:p>
    <w:p w14:paraId="16E88A04" w14:textId="77777777" w:rsidR="00A35DAC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r w:rsidRPr="00665438">
        <w:rPr>
          <w:b/>
          <w:bCs/>
        </w:rPr>
        <w:t>Odpowiedź:</w:t>
      </w:r>
      <w:r>
        <w:rPr>
          <w:b/>
          <w:bCs/>
        </w:rPr>
        <w:t xml:space="preserve"> </w:t>
      </w:r>
      <w:r w:rsidRPr="00C73BD8">
        <w:t>Zamawiający dopuszcza z przeliczeniem ilości.</w:t>
      </w:r>
      <w:r>
        <w:rPr>
          <w:b/>
          <w:bCs/>
        </w:rPr>
        <w:t xml:space="preserve">  </w:t>
      </w:r>
    </w:p>
    <w:p w14:paraId="720370E0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090E2EC6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2" w:name="_Hlk181616766"/>
      <w:r w:rsidRPr="00644F23">
        <w:rPr>
          <w:rFonts w:cs="Calibri"/>
          <w:b/>
          <w:bCs/>
          <w:color w:val="000000"/>
          <w:lang w:eastAsia="pl-PL"/>
        </w:rPr>
        <w:t>Pytanie nr 1</w:t>
      </w:r>
      <w:r>
        <w:rPr>
          <w:rFonts w:cs="Calibri"/>
          <w:b/>
          <w:bCs/>
          <w:color w:val="000000"/>
          <w:lang w:eastAsia="pl-PL"/>
        </w:rPr>
        <w:t>9</w:t>
      </w:r>
    </w:p>
    <w:bookmarkEnd w:id="12"/>
    <w:p w14:paraId="00251CE7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Dotyczy pakietu 41 wapno sodowane</w:t>
      </w:r>
    </w:p>
    <w:p w14:paraId="2AD27B86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>Czy dla pakietu 41 Zamawiający uzna za spełniony warunek udziału w postępowaniu jeśli Wykonawca złoży oświadczenie o braku konieczności posiadania koncesji, zezwolenia, licencji lub dokumentu potwierdzającego, że wykonawca jest wpisany do jednego z rejestrów zawodowych lub handlowych, prowadzonych w państwie członkowskim Unii Europejskiej, w którym wykonawca ma siedzibę lub miejsce zamieszkania? Wapno sodowane będące przedmiotem postępowania w tym pakiecie jest wyrobem medycznym i do jego sprzedaży i dystrybucji prawo nie wymaga posiadania koncesji, zezwolenia ani licencji.</w:t>
      </w:r>
    </w:p>
    <w:p w14:paraId="67D98099" w14:textId="40358C24" w:rsidR="00A35DAC" w:rsidRDefault="00A35DAC" w:rsidP="00A35DAC">
      <w:pPr>
        <w:keepLines/>
        <w:autoSpaceDE w:val="0"/>
        <w:adjustRightInd w:val="0"/>
        <w:jc w:val="both"/>
        <w:rPr>
          <w:b/>
          <w:bCs/>
        </w:rPr>
      </w:pPr>
      <w:bookmarkStart w:id="13" w:name="_Hlk181616781"/>
      <w:r w:rsidRPr="00665438">
        <w:rPr>
          <w:b/>
          <w:bCs/>
        </w:rPr>
        <w:t>Odpowiedź:</w:t>
      </w:r>
      <w:r w:rsidR="00C73BD8">
        <w:rPr>
          <w:b/>
          <w:bCs/>
        </w:rPr>
        <w:t xml:space="preserve"> </w:t>
      </w:r>
      <w:r w:rsidR="00C73BD8" w:rsidRPr="00C73BD8">
        <w:t>Zamawiający wyraża zgodę dla pakietu nr 41.</w:t>
      </w:r>
      <w:r w:rsidR="00C73BD8">
        <w:rPr>
          <w:b/>
          <w:bCs/>
        </w:rPr>
        <w:t xml:space="preserve"> </w:t>
      </w:r>
    </w:p>
    <w:bookmarkEnd w:id="13"/>
    <w:p w14:paraId="1E27494C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2CDAB3F0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Pytanie nr 20</w:t>
      </w:r>
    </w:p>
    <w:p w14:paraId="5D35D5C7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5, Pozycja 1, </w:t>
      </w:r>
      <w:proofErr w:type="spellStart"/>
      <w:r w:rsidRPr="00644F23">
        <w:rPr>
          <w:rFonts w:cs="Calibri"/>
          <w:color w:val="000000"/>
          <w:lang w:eastAsia="pl-PL"/>
        </w:rPr>
        <w:t>Ciprofloxacinum</w:t>
      </w:r>
      <w:proofErr w:type="spellEnd"/>
      <w:r w:rsidRPr="00644F23">
        <w:rPr>
          <w:rFonts w:cs="Calibri"/>
          <w:color w:val="000000"/>
          <w:lang w:eastAsia="pl-PL"/>
        </w:rPr>
        <w:t xml:space="preserve"> 1 </w:t>
      </w:r>
      <w:proofErr w:type="spellStart"/>
      <w:r w:rsidRPr="00644F23">
        <w:rPr>
          <w:rFonts w:cs="Calibri"/>
          <w:color w:val="000000"/>
          <w:lang w:eastAsia="pl-PL"/>
        </w:rPr>
        <w:t>poj.a</w:t>
      </w:r>
      <w:proofErr w:type="spellEnd"/>
      <w:r w:rsidRPr="00644F23">
        <w:rPr>
          <w:rFonts w:cs="Calibri"/>
          <w:color w:val="000000"/>
          <w:lang w:eastAsia="pl-PL"/>
        </w:rPr>
        <w:t xml:space="preserve"> 200ml 2 mg/ml roztwór do infuzji: Czy Zamawiający ma na myśli </w:t>
      </w:r>
      <w:proofErr w:type="spellStart"/>
      <w:r w:rsidRPr="00644F23">
        <w:rPr>
          <w:rFonts w:cs="Calibri"/>
          <w:color w:val="000000"/>
          <w:lang w:eastAsia="pl-PL"/>
        </w:rPr>
        <w:t>ciprofloksacynę</w:t>
      </w:r>
      <w:proofErr w:type="spellEnd"/>
      <w:r w:rsidRPr="00644F23">
        <w:rPr>
          <w:rFonts w:cs="Calibri"/>
          <w:color w:val="000000"/>
          <w:lang w:eastAsia="pl-PL"/>
        </w:rPr>
        <w:t xml:space="preserve"> w postaci </w:t>
      </w:r>
      <w:proofErr w:type="spellStart"/>
      <w:r w:rsidRPr="00644F23">
        <w:rPr>
          <w:rFonts w:cs="Calibri"/>
          <w:color w:val="000000"/>
          <w:lang w:eastAsia="pl-PL"/>
        </w:rPr>
        <w:t>monowodzianu</w:t>
      </w:r>
      <w:proofErr w:type="spellEnd"/>
      <w:r w:rsidRPr="00644F23">
        <w:rPr>
          <w:rFonts w:cs="Calibri"/>
          <w:color w:val="000000"/>
          <w:lang w:eastAsia="pl-PL"/>
        </w:rPr>
        <w:t>, co zapewni lepszą tolerancję terapii zakażeń (mniej reakcji uczuleniowych, wysypek i odczynów skórnych)?</w:t>
      </w:r>
    </w:p>
    <w:p w14:paraId="75571A17" w14:textId="45C78F90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4" w:name="_Hlk181616805"/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bookmarkEnd w:id="14"/>
    <w:p w14:paraId="2990ECA7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</w:p>
    <w:p w14:paraId="37D385BB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5" w:name="_Hlk181616823"/>
      <w:r w:rsidRPr="00644F23">
        <w:rPr>
          <w:rFonts w:cs="Calibri"/>
          <w:b/>
          <w:bCs/>
          <w:color w:val="000000"/>
          <w:lang w:eastAsia="pl-PL"/>
        </w:rPr>
        <w:t>Pytanie nr 2</w:t>
      </w:r>
      <w:r>
        <w:rPr>
          <w:rFonts w:cs="Calibri"/>
          <w:b/>
          <w:bCs/>
          <w:color w:val="000000"/>
          <w:lang w:eastAsia="pl-PL"/>
        </w:rPr>
        <w:t>1</w:t>
      </w:r>
    </w:p>
    <w:bookmarkEnd w:id="15"/>
    <w:p w14:paraId="48BE2037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5, Pozycja 2, </w:t>
      </w:r>
      <w:proofErr w:type="spellStart"/>
      <w:r w:rsidRPr="00644F23">
        <w:rPr>
          <w:rFonts w:cs="Calibri"/>
          <w:color w:val="000000"/>
          <w:lang w:eastAsia="pl-PL"/>
        </w:rPr>
        <w:t>Ciprofloxacinum</w:t>
      </w:r>
      <w:proofErr w:type="spellEnd"/>
      <w:r w:rsidRPr="00644F23">
        <w:rPr>
          <w:rFonts w:cs="Calibri"/>
          <w:color w:val="000000"/>
          <w:lang w:eastAsia="pl-PL"/>
        </w:rPr>
        <w:t xml:space="preserve"> 1 </w:t>
      </w:r>
      <w:proofErr w:type="spellStart"/>
      <w:r w:rsidRPr="00644F23">
        <w:rPr>
          <w:rFonts w:cs="Calibri"/>
          <w:color w:val="000000"/>
          <w:lang w:eastAsia="pl-PL"/>
        </w:rPr>
        <w:t>poj.a</w:t>
      </w:r>
      <w:proofErr w:type="spellEnd"/>
      <w:r w:rsidRPr="00644F23">
        <w:rPr>
          <w:rFonts w:cs="Calibri"/>
          <w:color w:val="000000"/>
          <w:lang w:eastAsia="pl-PL"/>
        </w:rPr>
        <w:t xml:space="preserve"> 100ml 2 mg/ml roztwór do infuzji: Czy Zamawiający ma na myśli </w:t>
      </w:r>
      <w:proofErr w:type="spellStart"/>
      <w:r w:rsidRPr="00644F23">
        <w:rPr>
          <w:rFonts w:cs="Calibri"/>
          <w:color w:val="000000"/>
          <w:lang w:eastAsia="pl-PL"/>
        </w:rPr>
        <w:t>ciprofloksacynę</w:t>
      </w:r>
      <w:proofErr w:type="spellEnd"/>
      <w:r w:rsidRPr="00644F23">
        <w:rPr>
          <w:rFonts w:cs="Calibri"/>
          <w:color w:val="000000"/>
          <w:lang w:eastAsia="pl-PL"/>
        </w:rPr>
        <w:t xml:space="preserve"> w postaci </w:t>
      </w:r>
      <w:proofErr w:type="spellStart"/>
      <w:r w:rsidRPr="00644F23">
        <w:rPr>
          <w:rFonts w:cs="Calibri"/>
          <w:color w:val="000000"/>
          <w:lang w:eastAsia="pl-PL"/>
        </w:rPr>
        <w:t>monowodzianu</w:t>
      </w:r>
      <w:proofErr w:type="spellEnd"/>
      <w:r w:rsidRPr="00644F23">
        <w:rPr>
          <w:rFonts w:cs="Calibri"/>
          <w:color w:val="000000"/>
          <w:lang w:eastAsia="pl-PL"/>
        </w:rPr>
        <w:t>, co zapewni lepszą tolerancję terapii zakażeń (mniej reakcji uczuleniowych, wysypek i odczynów skórnych)?</w:t>
      </w:r>
    </w:p>
    <w:p w14:paraId="40E6AA2F" w14:textId="6502A435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>
        <w:rPr>
          <w:rFonts w:cs="Calibri"/>
          <w:b/>
          <w:bCs/>
          <w:color w:val="000000"/>
          <w:lang w:eastAsia="pl-PL"/>
        </w:rPr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6C1B9C7F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</w:p>
    <w:p w14:paraId="7A4FA2A7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Pytanie nr 2</w:t>
      </w:r>
      <w:r>
        <w:rPr>
          <w:rFonts w:cs="Calibri"/>
          <w:b/>
          <w:bCs/>
          <w:color w:val="000000"/>
          <w:lang w:eastAsia="pl-PL"/>
        </w:rPr>
        <w:t>2</w:t>
      </w:r>
    </w:p>
    <w:p w14:paraId="5C1FDDDF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6, Pozycja 11, </w:t>
      </w:r>
      <w:proofErr w:type="spellStart"/>
      <w:r w:rsidRPr="00644F23">
        <w:rPr>
          <w:rFonts w:cs="Calibri"/>
          <w:color w:val="000000"/>
          <w:lang w:eastAsia="pl-PL"/>
        </w:rPr>
        <w:t>Midazolamum</w:t>
      </w:r>
      <w:proofErr w:type="spellEnd"/>
      <w:r w:rsidRPr="00644F23">
        <w:rPr>
          <w:rFonts w:cs="Calibri"/>
          <w:color w:val="000000"/>
          <w:lang w:eastAsia="pl-PL"/>
        </w:rPr>
        <w:t xml:space="preserve"> 5 </w:t>
      </w:r>
      <w:proofErr w:type="spellStart"/>
      <w:r w:rsidRPr="00644F23">
        <w:rPr>
          <w:rFonts w:cs="Calibri"/>
          <w:color w:val="000000"/>
          <w:lang w:eastAsia="pl-PL"/>
        </w:rPr>
        <w:t>amp.a</w:t>
      </w:r>
      <w:proofErr w:type="spellEnd"/>
      <w:r w:rsidRPr="00644F23">
        <w:rPr>
          <w:rFonts w:cs="Calibri"/>
          <w:color w:val="000000"/>
          <w:lang w:eastAsia="pl-PL"/>
        </w:rPr>
        <w:t xml:space="preserve"> 10ml 5 mg/ml roztwór do </w:t>
      </w:r>
      <w:proofErr w:type="spellStart"/>
      <w:r w:rsidRPr="00644F23">
        <w:rPr>
          <w:rFonts w:cs="Calibri"/>
          <w:color w:val="000000"/>
          <w:lang w:eastAsia="pl-PL"/>
        </w:rPr>
        <w:t>wstrzykiwań</w:t>
      </w:r>
      <w:proofErr w:type="spellEnd"/>
      <w:r w:rsidRPr="00644F23">
        <w:rPr>
          <w:rFonts w:cs="Calibri"/>
          <w:color w:val="000000"/>
          <w:lang w:eastAsia="pl-PL"/>
        </w:rPr>
        <w:t xml:space="preserve">: Czy Zamawiający wymaga aby, </w:t>
      </w:r>
      <w:proofErr w:type="spellStart"/>
      <w:r w:rsidRPr="00644F23">
        <w:rPr>
          <w:rFonts w:cs="Calibri"/>
          <w:color w:val="000000"/>
          <w:lang w:eastAsia="pl-PL"/>
        </w:rPr>
        <w:t>Midazolam</w:t>
      </w:r>
      <w:proofErr w:type="spellEnd"/>
      <w:r w:rsidRPr="00644F23">
        <w:rPr>
          <w:rFonts w:cs="Calibri"/>
          <w:color w:val="000000"/>
          <w:lang w:eastAsia="pl-PL"/>
        </w:rPr>
        <w:t xml:space="preserve"> posiadał w swoim składzie </w:t>
      </w:r>
      <w:proofErr w:type="spellStart"/>
      <w:r w:rsidRPr="00644F23">
        <w:rPr>
          <w:rFonts w:cs="Calibri"/>
          <w:color w:val="000000"/>
          <w:lang w:eastAsia="pl-PL"/>
        </w:rPr>
        <w:t>edetynian</w:t>
      </w:r>
      <w:proofErr w:type="spellEnd"/>
      <w:r w:rsidRPr="00644F23">
        <w:rPr>
          <w:rFonts w:cs="Calibri"/>
          <w:color w:val="000000"/>
          <w:lang w:eastAsia="pl-PL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644F23">
        <w:rPr>
          <w:rFonts w:cs="Calibri"/>
          <w:color w:val="000000"/>
          <w:lang w:eastAsia="pl-PL"/>
        </w:rPr>
        <w:t>Midazolamu</w:t>
      </w:r>
      <w:proofErr w:type="spellEnd"/>
      <w:r w:rsidRPr="00644F23">
        <w:rPr>
          <w:rFonts w:cs="Calibri"/>
          <w:color w:val="000000"/>
          <w:lang w:eastAsia="pl-PL"/>
        </w:rPr>
        <w:t>?</w:t>
      </w:r>
    </w:p>
    <w:p w14:paraId="4D8FA1EE" w14:textId="0F4EBC0D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>
        <w:rPr>
          <w:rFonts w:cs="Calibri"/>
          <w:b/>
          <w:bCs/>
          <w:color w:val="000000"/>
          <w:lang w:eastAsia="pl-PL"/>
        </w:rPr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1A441336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40A1B9BC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Pytanie nr 2</w:t>
      </w:r>
      <w:r>
        <w:rPr>
          <w:rFonts w:cs="Calibri"/>
          <w:b/>
          <w:bCs/>
          <w:color w:val="000000"/>
          <w:lang w:eastAsia="pl-PL"/>
        </w:rPr>
        <w:t>3</w:t>
      </w:r>
    </w:p>
    <w:p w14:paraId="175F4734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6, Pozycja 12, </w:t>
      </w:r>
      <w:proofErr w:type="spellStart"/>
      <w:r w:rsidRPr="00644F23">
        <w:rPr>
          <w:rFonts w:cs="Calibri"/>
          <w:color w:val="000000"/>
          <w:lang w:eastAsia="pl-PL"/>
        </w:rPr>
        <w:t>Midazolamum</w:t>
      </w:r>
      <w:proofErr w:type="spellEnd"/>
      <w:r w:rsidRPr="00644F23">
        <w:rPr>
          <w:rFonts w:cs="Calibri"/>
          <w:color w:val="000000"/>
          <w:lang w:eastAsia="pl-PL"/>
        </w:rPr>
        <w:t xml:space="preserve"> 5 </w:t>
      </w:r>
      <w:proofErr w:type="spellStart"/>
      <w:r w:rsidRPr="00644F23">
        <w:rPr>
          <w:rFonts w:cs="Calibri"/>
          <w:color w:val="000000"/>
          <w:lang w:eastAsia="pl-PL"/>
        </w:rPr>
        <w:t>amp.a</w:t>
      </w:r>
      <w:proofErr w:type="spellEnd"/>
      <w:r w:rsidRPr="00644F23">
        <w:rPr>
          <w:rFonts w:cs="Calibri"/>
          <w:color w:val="000000"/>
          <w:lang w:eastAsia="pl-PL"/>
        </w:rPr>
        <w:t xml:space="preserve"> 5ml 1 mg/ml roztwór do </w:t>
      </w:r>
      <w:proofErr w:type="spellStart"/>
      <w:r w:rsidRPr="00644F23">
        <w:rPr>
          <w:rFonts w:cs="Calibri"/>
          <w:color w:val="000000"/>
          <w:lang w:eastAsia="pl-PL"/>
        </w:rPr>
        <w:t>wstrzykiwań</w:t>
      </w:r>
      <w:proofErr w:type="spellEnd"/>
      <w:r w:rsidRPr="00644F23">
        <w:rPr>
          <w:rFonts w:cs="Calibri"/>
          <w:color w:val="000000"/>
          <w:lang w:eastAsia="pl-PL"/>
        </w:rPr>
        <w:t xml:space="preserve">: Czy Zamawiający wymaga aby, </w:t>
      </w:r>
      <w:proofErr w:type="spellStart"/>
      <w:r w:rsidRPr="00644F23">
        <w:rPr>
          <w:rFonts w:cs="Calibri"/>
          <w:color w:val="000000"/>
          <w:lang w:eastAsia="pl-PL"/>
        </w:rPr>
        <w:t>Midazolam</w:t>
      </w:r>
      <w:proofErr w:type="spellEnd"/>
      <w:r w:rsidRPr="00644F23">
        <w:rPr>
          <w:rFonts w:cs="Calibri"/>
          <w:color w:val="000000"/>
          <w:lang w:eastAsia="pl-PL"/>
        </w:rPr>
        <w:t xml:space="preserve"> posiadał w swoim składzie </w:t>
      </w:r>
      <w:proofErr w:type="spellStart"/>
      <w:r w:rsidRPr="00644F23">
        <w:rPr>
          <w:rFonts w:cs="Calibri"/>
          <w:color w:val="000000"/>
          <w:lang w:eastAsia="pl-PL"/>
        </w:rPr>
        <w:t>edetynian</w:t>
      </w:r>
      <w:proofErr w:type="spellEnd"/>
      <w:r w:rsidRPr="00644F23">
        <w:rPr>
          <w:rFonts w:cs="Calibri"/>
          <w:color w:val="000000"/>
          <w:lang w:eastAsia="pl-PL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644F23">
        <w:rPr>
          <w:rFonts w:cs="Calibri"/>
          <w:color w:val="000000"/>
          <w:lang w:eastAsia="pl-PL"/>
        </w:rPr>
        <w:t>Midazolamu</w:t>
      </w:r>
      <w:proofErr w:type="spellEnd"/>
      <w:r w:rsidRPr="00644F23">
        <w:rPr>
          <w:rFonts w:cs="Calibri"/>
          <w:color w:val="000000"/>
          <w:lang w:eastAsia="pl-PL"/>
        </w:rPr>
        <w:t>?</w:t>
      </w:r>
    </w:p>
    <w:p w14:paraId="3D3B4A91" w14:textId="35B1D829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26A86AC1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26142BEE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Pytanie nr 24</w:t>
      </w:r>
    </w:p>
    <w:p w14:paraId="6EE61DAE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21, Pozycja 4, </w:t>
      </w:r>
      <w:proofErr w:type="spellStart"/>
      <w:r w:rsidRPr="00644F23">
        <w:rPr>
          <w:rFonts w:cs="Calibri"/>
          <w:color w:val="000000"/>
          <w:lang w:eastAsia="pl-PL"/>
        </w:rPr>
        <w:t>Hydrocortisonum</w:t>
      </w:r>
      <w:proofErr w:type="spellEnd"/>
      <w:r w:rsidRPr="00644F23">
        <w:rPr>
          <w:rFonts w:cs="Calibri"/>
          <w:color w:val="000000"/>
          <w:lang w:eastAsia="pl-PL"/>
        </w:rPr>
        <w:t xml:space="preserve"> 5 fiol. (+ 5 </w:t>
      </w:r>
      <w:proofErr w:type="spellStart"/>
      <w:r w:rsidRPr="00644F23">
        <w:rPr>
          <w:rFonts w:cs="Calibri"/>
          <w:color w:val="000000"/>
          <w:lang w:eastAsia="pl-PL"/>
        </w:rPr>
        <w:t>amp.rozp</w:t>
      </w:r>
      <w:proofErr w:type="spellEnd"/>
      <w:r w:rsidRPr="00644F23">
        <w:rPr>
          <w:rFonts w:cs="Calibri"/>
          <w:color w:val="000000"/>
          <w:lang w:eastAsia="pl-PL"/>
        </w:rPr>
        <w:t xml:space="preserve">.) 0,1 g proszek i </w:t>
      </w:r>
      <w:proofErr w:type="spellStart"/>
      <w:r w:rsidRPr="00644F23">
        <w:rPr>
          <w:rFonts w:cs="Calibri"/>
          <w:color w:val="000000"/>
          <w:lang w:eastAsia="pl-PL"/>
        </w:rPr>
        <w:t>rozp</w:t>
      </w:r>
      <w:proofErr w:type="spellEnd"/>
      <w:r w:rsidRPr="00644F23">
        <w:rPr>
          <w:rFonts w:cs="Calibri"/>
          <w:color w:val="000000"/>
          <w:lang w:eastAsia="pl-PL"/>
        </w:rPr>
        <w:t xml:space="preserve">. do </w:t>
      </w:r>
      <w:proofErr w:type="spellStart"/>
      <w:r w:rsidRPr="00644F23">
        <w:rPr>
          <w:rFonts w:cs="Calibri"/>
          <w:color w:val="000000"/>
          <w:lang w:eastAsia="pl-PL"/>
        </w:rPr>
        <w:t>sporz</w:t>
      </w:r>
      <w:proofErr w:type="spellEnd"/>
      <w:r w:rsidRPr="00644F23">
        <w:rPr>
          <w:rFonts w:cs="Calibri"/>
          <w:color w:val="000000"/>
          <w:lang w:eastAsia="pl-PL"/>
        </w:rPr>
        <w:t xml:space="preserve">. </w:t>
      </w:r>
      <w:proofErr w:type="spellStart"/>
      <w:r w:rsidRPr="00644F23">
        <w:rPr>
          <w:rFonts w:cs="Calibri"/>
          <w:color w:val="000000"/>
          <w:lang w:eastAsia="pl-PL"/>
        </w:rPr>
        <w:t>roztw</w:t>
      </w:r>
      <w:proofErr w:type="spellEnd"/>
      <w:r w:rsidRPr="00644F23">
        <w:rPr>
          <w:rFonts w:cs="Calibri"/>
          <w:color w:val="000000"/>
          <w:lang w:eastAsia="pl-PL"/>
        </w:rPr>
        <w:t xml:space="preserve">. do </w:t>
      </w:r>
      <w:proofErr w:type="spellStart"/>
      <w:r w:rsidRPr="00644F23">
        <w:rPr>
          <w:rFonts w:cs="Calibri"/>
          <w:color w:val="000000"/>
          <w:lang w:eastAsia="pl-PL"/>
        </w:rPr>
        <w:t>inj</w:t>
      </w:r>
      <w:proofErr w:type="spellEnd"/>
      <w:r w:rsidRPr="00644F23">
        <w:rPr>
          <w:rFonts w:cs="Calibri"/>
          <w:color w:val="000000"/>
          <w:lang w:eastAsia="pl-PL"/>
        </w:rPr>
        <w:t xml:space="preserve">.: Czy Zamawiający wymaga, aby oferowany </w:t>
      </w:r>
      <w:proofErr w:type="spellStart"/>
      <w:r w:rsidRPr="00644F23">
        <w:rPr>
          <w:rFonts w:cs="Calibri"/>
          <w:color w:val="000000"/>
          <w:lang w:eastAsia="pl-PL"/>
        </w:rPr>
        <w:t>Hydrocortisone</w:t>
      </w:r>
      <w:proofErr w:type="spellEnd"/>
      <w:r w:rsidRPr="00644F23">
        <w:rPr>
          <w:rFonts w:cs="Calibri"/>
          <w:color w:val="000000"/>
          <w:lang w:eastAsia="pl-PL"/>
        </w:rPr>
        <w:t xml:space="preserve"> 100 mg x 1 miał poniższe wskazania: - zastosowanie profilaktyczne: choroby endokrynologiczne, celem prewencji rozwoju ostrej niewydolności nadnerczy, gdzie wymagana może być dodatkowa podaż glikokortykoidu w związku ze zwiększonym zapotrzebowaniem na kortyzol (np. zabieg operacyjny u chorego z niedomogą nadnerczy czy zapaleniem tarczycy, osłabienie czynności nadnerczy wskutek przewlekłej </w:t>
      </w:r>
      <w:proofErr w:type="spellStart"/>
      <w:r w:rsidRPr="00644F23">
        <w:rPr>
          <w:rFonts w:cs="Calibri"/>
          <w:color w:val="000000"/>
          <w:lang w:eastAsia="pl-PL"/>
        </w:rPr>
        <w:t>sterydoterapii</w:t>
      </w:r>
      <w:proofErr w:type="spellEnd"/>
      <w:r w:rsidRPr="00644F23">
        <w:rPr>
          <w:rFonts w:cs="Calibri"/>
          <w:color w:val="000000"/>
          <w:lang w:eastAsia="pl-PL"/>
        </w:rPr>
        <w:t>) - zastosowanie w stanach przewlekłych: może mieć miejsce po rozważeniu wskazań przez lekarza i dotyczyć stanów/chorób takich jak: - stany alergiczne - choroby dermatologiczne reagujące na kortykosteroidy - choroby endokrynologiczne - choroby przewodu pokarmowego (w określonych sytuacjach – leczenie zaostrzeń stanów zapalnych) - choroby hematologiczne - choroby nowotworowe - choroby układu oddechowego - choroby reumatyczne potwierdzone w CHPL</w:t>
      </w:r>
    </w:p>
    <w:p w14:paraId="0D0D7C59" w14:textId="61AC5F64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C2620">
        <w:t>Pozostają zapisy SWZ.</w:t>
      </w:r>
    </w:p>
    <w:p w14:paraId="5968179B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095E74C5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6" w:name="_Hlk181616867"/>
      <w:r w:rsidRPr="00644F23">
        <w:rPr>
          <w:rFonts w:cs="Calibri"/>
          <w:b/>
          <w:bCs/>
          <w:color w:val="000000"/>
          <w:lang w:eastAsia="pl-PL"/>
        </w:rPr>
        <w:t>Pytanie nr 2</w:t>
      </w:r>
      <w:r>
        <w:rPr>
          <w:rFonts w:cs="Calibri"/>
          <w:b/>
          <w:bCs/>
          <w:color w:val="000000"/>
          <w:lang w:eastAsia="pl-PL"/>
        </w:rPr>
        <w:t>5</w:t>
      </w:r>
    </w:p>
    <w:bookmarkEnd w:id="16"/>
    <w:p w14:paraId="07B26CC8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44, Pozycja 2, </w:t>
      </w:r>
      <w:proofErr w:type="spellStart"/>
      <w:r w:rsidRPr="00644F23">
        <w:rPr>
          <w:rFonts w:cs="Calibri"/>
          <w:color w:val="000000"/>
          <w:lang w:eastAsia="pl-PL"/>
        </w:rPr>
        <w:t>Midazolamum</w:t>
      </w:r>
      <w:proofErr w:type="spellEnd"/>
      <w:r w:rsidRPr="00644F23">
        <w:rPr>
          <w:rFonts w:cs="Calibri"/>
          <w:color w:val="000000"/>
          <w:lang w:eastAsia="pl-PL"/>
        </w:rPr>
        <w:t xml:space="preserve"> 10 </w:t>
      </w:r>
      <w:proofErr w:type="spellStart"/>
      <w:r w:rsidRPr="00644F23">
        <w:rPr>
          <w:rFonts w:cs="Calibri"/>
          <w:color w:val="000000"/>
          <w:lang w:eastAsia="pl-PL"/>
        </w:rPr>
        <w:t>amp.a</w:t>
      </w:r>
      <w:proofErr w:type="spellEnd"/>
      <w:r w:rsidRPr="00644F23">
        <w:rPr>
          <w:rFonts w:cs="Calibri"/>
          <w:color w:val="000000"/>
          <w:lang w:eastAsia="pl-PL"/>
        </w:rPr>
        <w:t xml:space="preserve"> 1ml 5 mg/ml roztwór do </w:t>
      </w:r>
      <w:proofErr w:type="spellStart"/>
      <w:r w:rsidRPr="00644F23">
        <w:rPr>
          <w:rFonts w:cs="Calibri"/>
          <w:color w:val="000000"/>
          <w:lang w:eastAsia="pl-PL"/>
        </w:rPr>
        <w:t>wstrzykiwań</w:t>
      </w:r>
      <w:proofErr w:type="spellEnd"/>
      <w:r w:rsidRPr="00644F23">
        <w:rPr>
          <w:rFonts w:cs="Calibri"/>
          <w:color w:val="000000"/>
          <w:lang w:eastAsia="pl-PL"/>
        </w:rPr>
        <w:t xml:space="preserve">: Czy Zamawiający wymaga aby, </w:t>
      </w:r>
      <w:proofErr w:type="spellStart"/>
      <w:r w:rsidRPr="00644F23">
        <w:rPr>
          <w:rFonts w:cs="Calibri"/>
          <w:color w:val="000000"/>
          <w:lang w:eastAsia="pl-PL"/>
        </w:rPr>
        <w:t>Midazolam</w:t>
      </w:r>
      <w:proofErr w:type="spellEnd"/>
      <w:r w:rsidRPr="00644F23">
        <w:rPr>
          <w:rFonts w:cs="Calibri"/>
          <w:color w:val="000000"/>
          <w:lang w:eastAsia="pl-PL"/>
        </w:rPr>
        <w:t xml:space="preserve"> posiadał w swoim składzie </w:t>
      </w:r>
      <w:proofErr w:type="spellStart"/>
      <w:r w:rsidRPr="00644F23">
        <w:rPr>
          <w:rFonts w:cs="Calibri"/>
          <w:color w:val="000000"/>
          <w:lang w:eastAsia="pl-PL"/>
        </w:rPr>
        <w:t>edetynian</w:t>
      </w:r>
      <w:proofErr w:type="spellEnd"/>
      <w:r w:rsidRPr="00644F23">
        <w:rPr>
          <w:rFonts w:cs="Calibri"/>
          <w:color w:val="000000"/>
          <w:lang w:eastAsia="pl-PL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644F23">
        <w:rPr>
          <w:rFonts w:cs="Calibri"/>
          <w:color w:val="000000"/>
          <w:lang w:eastAsia="pl-PL"/>
        </w:rPr>
        <w:t>Midazolamu</w:t>
      </w:r>
      <w:proofErr w:type="spellEnd"/>
      <w:r w:rsidRPr="00644F23">
        <w:rPr>
          <w:rFonts w:cs="Calibri"/>
          <w:color w:val="000000"/>
          <w:lang w:eastAsia="pl-PL"/>
        </w:rPr>
        <w:t>?</w:t>
      </w:r>
    </w:p>
    <w:p w14:paraId="6303E582" w14:textId="3E7EAF8F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2788968D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3E046F65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bookmarkStart w:id="17" w:name="_Hlk181616888"/>
      <w:r w:rsidRPr="00644F23">
        <w:rPr>
          <w:rFonts w:cs="Calibri"/>
          <w:b/>
          <w:bCs/>
          <w:color w:val="000000"/>
          <w:lang w:eastAsia="pl-PL"/>
        </w:rPr>
        <w:t>Pytanie nr 2</w:t>
      </w:r>
      <w:r>
        <w:rPr>
          <w:rFonts w:cs="Calibri"/>
          <w:b/>
          <w:bCs/>
          <w:color w:val="000000"/>
          <w:lang w:eastAsia="pl-PL"/>
        </w:rPr>
        <w:t>6</w:t>
      </w:r>
    </w:p>
    <w:bookmarkEnd w:id="17"/>
    <w:p w14:paraId="4B325D2B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44, Pozycja 5, </w:t>
      </w:r>
      <w:proofErr w:type="spellStart"/>
      <w:r w:rsidRPr="00644F23">
        <w:rPr>
          <w:rFonts w:cs="Calibri"/>
          <w:color w:val="000000"/>
          <w:lang w:eastAsia="pl-PL"/>
        </w:rPr>
        <w:t>Fentanylum</w:t>
      </w:r>
      <w:proofErr w:type="spellEnd"/>
      <w:r w:rsidRPr="00644F23">
        <w:rPr>
          <w:rFonts w:cs="Calibri"/>
          <w:color w:val="000000"/>
          <w:lang w:eastAsia="pl-PL"/>
        </w:rPr>
        <w:t xml:space="preserve"> 50 </w:t>
      </w:r>
      <w:proofErr w:type="spellStart"/>
      <w:r w:rsidRPr="00644F23">
        <w:rPr>
          <w:rFonts w:cs="Calibri"/>
          <w:color w:val="000000"/>
          <w:lang w:eastAsia="pl-PL"/>
        </w:rPr>
        <w:t>amp.a</w:t>
      </w:r>
      <w:proofErr w:type="spellEnd"/>
      <w:r w:rsidRPr="00644F23">
        <w:rPr>
          <w:rFonts w:cs="Calibri"/>
          <w:color w:val="000000"/>
          <w:lang w:eastAsia="pl-PL"/>
        </w:rPr>
        <w:t xml:space="preserve"> 2ml 0,1 mg/2ml roztwór do </w:t>
      </w:r>
      <w:proofErr w:type="spellStart"/>
      <w:r w:rsidRPr="00644F23">
        <w:rPr>
          <w:rFonts w:cs="Calibri"/>
          <w:color w:val="000000"/>
          <w:lang w:eastAsia="pl-PL"/>
        </w:rPr>
        <w:t>wstrzykiwań</w:t>
      </w:r>
      <w:proofErr w:type="spellEnd"/>
      <w:r w:rsidRPr="00644F23">
        <w:rPr>
          <w:rFonts w:cs="Calibri"/>
          <w:color w:val="000000"/>
          <w:lang w:eastAsia="pl-PL"/>
        </w:rPr>
        <w:t>: Czy Zamawiający wymaga, aby zaoferowany Fentanyl mógł być podawany domięśniowo, dożylnie, podskórnie, zewnątrzoponowo i podpajęczynówkowo?</w:t>
      </w:r>
    </w:p>
    <w:p w14:paraId="662D0E8A" w14:textId="1BB1A679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6993AEC1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61A40E28" w14:textId="77777777" w:rsidR="00A35DAC" w:rsidRPr="00644F23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Pytanie nr 27</w:t>
      </w:r>
    </w:p>
    <w:p w14:paraId="6DC011E2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  <w:r w:rsidRPr="00644F23">
        <w:rPr>
          <w:rFonts w:cs="Calibri"/>
          <w:color w:val="000000"/>
          <w:lang w:eastAsia="pl-PL"/>
        </w:rPr>
        <w:t xml:space="preserve">Pakiet 44, Pozycja 6, </w:t>
      </w:r>
      <w:proofErr w:type="spellStart"/>
      <w:r w:rsidRPr="00644F23">
        <w:rPr>
          <w:rFonts w:cs="Calibri"/>
          <w:color w:val="000000"/>
          <w:lang w:eastAsia="pl-PL"/>
        </w:rPr>
        <w:t>Fentanylum</w:t>
      </w:r>
      <w:proofErr w:type="spellEnd"/>
      <w:r w:rsidRPr="00644F23">
        <w:rPr>
          <w:rFonts w:cs="Calibri"/>
          <w:color w:val="000000"/>
          <w:lang w:eastAsia="pl-PL"/>
        </w:rPr>
        <w:t xml:space="preserve"> 50 </w:t>
      </w:r>
      <w:proofErr w:type="spellStart"/>
      <w:r w:rsidRPr="00644F23">
        <w:rPr>
          <w:rFonts w:cs="Calibri"/>
          <w:color w:val="000000"/>
          <w:lang w:eastAsia="pl-PL"/>
        </w:rPr>
        <w:t>amp.a</w:t>
      </w:r>
      <w:proofErr w:type="spellEnd"/>
      <w:r w:rsidRPr="00644F23">
        <w:rPr>
          <w:rFonts w:cs="Calibri"/>
          <w:color w:val="000000"/>
          <w:lang w:eastAsia="pl-PL"/>
        </w:rPr>
        <w:t xml:space="preserve"> 10ml 0,5 mg/10ml roztwór do </w:t>
      </w:r>
      <w:proofErr w:type="spellStart"/>
      <w:r w:rsidRPr="00644F23">
        <w:rPr>
          <w:rFonts w:cs="Calibri"/>
          <w:color w:val="000000"/>
          <w:lang w:eastAsia="pl-PL"/>
        </w:rPr>
        <w:t>wstrzykiwań</w:t>
      </w:r>
      <w:proofErr w:type="spellEnd"/>
      <w:r w:rsidRPr="00644F23">
        <w:rPr>
          <w:rFonts w:cs="Calibri"/>
          <w:color w:val="000000"/>
          <w:lang w:eastAsia="pl-PL"/>
        </w:rPr>
        <w:t>: Czy Zamawiający wymaga, aby zaoferowany Fentanyl mógł być podawany domięśniowo, dożylnie, podskórnie, zewnątrzoponowo i podpajęczynówkowo?</w:t>
      </w:r>
    </w:p>
    <w:p w14:paraId="7C7B06E1" w14:textId="13979844" w:rsidR="00A35DAC" w:rsidRDefault="00A35DAC" w:rsidP="00A35DAC">
      <w:pPr>
        <w:keepLines/>
        <w:autoSpaceDE w:val="0"/>
        <w:adjustRightInd w:val="0"/>
        <w:jc w:val="both"/>
        <w:rPr>
          <w:rFonts w:cs="Calibri"/>
          <w:b/>
          <w:bCs/>
          <w:color w:val="000000"/>
          <w:lang w:eastAsia="pl-PL"/>
        </w:rPr>
      </w:pPr>
      <w:r w:rsidRPr="00644F23">
        <w:rPr>
          <w:rFonts w:cs="Calibri"/>
          <w:b/>
          <w:bCs/>
          <w:color w:val="000000"/>
          <w:lang w:eastAsia="pl-PL"/>
        </w:rPr>
        <w:t>Odpowiedź:</w:t>
      </w:r>
      <w:r w:rsidR="00C73BD8" w:rsidRPr="00C73BD8">
        <w:t xml:space="preserve"> </w:t>
      </w:r>
      <w:r w:rsidR="00C73BD8" w:rsidRPr="00C73BD8">
        <w:rPr>
          <w:rFonts w:cs="Calibri"/>
          <w:color w:val="000000"/>
          <w:lang w:eastAsia="pl-PL"/>
        </w:rPr>
        <w:t>Pozostają zapisy SWZ.</w:t>
      </w:r>
    </w:p>
    <w:p w14:paraId="16C3E8A4" w14:textId="77777777" w:rsidR="00A35DAC" w:rsidRDefault="00A35DAC" w:rsidP="00A35DAC">
      <w:pPr>
        <w:keepLines/>
        <w:autoSpaceDE w:val="0"/>
        <w:adjustRightInd w:val="0"/>
        <w:jc w:val="both"/>
        <w:rPr>
          <w:rFonts w:cs="Calibri"/>
          <w:color w:val="000000"/>
          <w:lang w:eastAsia="pl-PL"/>
        </w:rPr>
      </w:pPr>
    </w:p>
    <w:p w14:paraId="75CFC37F" w14:textId="77777777" w:rsidR="00C679AA" w:rsidRDefault="00C679AA" w:rsidP="00170004">
      <w:pPr>
        <w:keepLines/>
        <w:autoSpaceDE w:val="0"/>
        <w:adjustRightInd w:val="0"/>
        <w:rPr>
          <w:rFonts w:cs="Calibri"/>
          <w:color w:val="000000"/>
          <w:lang w:eastAsia="pl-PL"/>
        </w:rPr>
      </w:pPr>
    </w:p>
    <w:p w14:paraId="21D0E104" w14:textId="0BDCA39D" w:rsidR="00C679AA" w:rsidRPr="00C679AA" w:rsidRDefault="00C679AA" w:rsidP="00C679AA">
      <w:pPr>
        <w:keepLines/>
        <w:autoSpaceDE w:val="0"/>
        <w:adjustRightInd w:val="0"/>
        <w:jc w:val="both"/>
        <w:rPr>
          <w:b/>
          <w:bCs/>
        </w:rPr>
      </w:pPr>
      <w:r w:rsidRPr="00C679AA">
        <w:rPr>
          <w:rFonts w:cs="Calibri"/>
          <w:b/>
          <w:bCs/>
          <w:color w:val="000000"/>
          <w:lang w:eastAsia="pl-PL"/>
        </w:rPr>
        <w:t xml:space="preserve">Jednocześnie Zamawiający zmienia we wzorze umowy </w:t>
      </w:r>
      <w:r w:rsidRPr="00C679AA">
        <w:rPr>
          <w:b/>
          <w:bCs/>
        </w:rPr>
        <w:t>§4 ust. 3 zdanie 2 z:</w:t>
      </w:r>
    </w:p>
    <w:p w14:paraId="360E7B1A" w14:textId="2F425E38" w:rsidR="00C679AA" w:rsidRDefault="00C679AA" w:rsidP="00C679AA">
      <w:pPr>
        <w:keepLines/>
        <w:autoSpaceDE w:val="0"/>
        <w:adjustRightInd w:val="0"/>
        <w:jc w:val="both"/>
        <w:rPr>
          <w:rFonts w:eastAsia="SimSun" w:cs="Mangal"/>
          <w:kern w:val="3"/>
          <w:lang w:eastAsia="zh-CN" w:bidi="hi-IN"/>
        </w:rPr>
      </w:pPr>
      <w:bookmarkStart w:id="18" w:name="_Hlk181875945"/>
      <w:r>
        <w:rPr>
          <w:rFonts w:eastAsia="SimSun" w:cs="Mangal"/>
          <w:kern w:val="3"/>
          <w:lang w:eastAsia="zh-CN" w:bidi="hi-IN"/>
        </w:rPr>
        <w:t xml:space="preserve">„Zamawiający dopuszcza możliwość elektronicznego złożenia faktury, którą należy wysłać na adres </w:t>
      </w:r>
      <w:hyperlink r:id="rId6" w:history="1">
        <w:r w:rsidRPr="00C679AA">
          <w:rPr>
            <w:rStyle w:val="Hipercze"/>
            <w:rFonts w:eastAsia="SimSun" w:cs="Mangal"/>
            <w:kern w:val="3"/>
            <w:lang w:eastAsia="zh-CN" w:bidi="hi-IN"/>
          </w:rPr>
          <w:t>apteka@szpitalzachodni.pl</w:t>
        </w:r>
      </w:hyperlink>
      <w:r>
        <w:rPr>
          <w:rFonts w:eastAsia="SimSun" w:cs="Mangal"/>
          <w:kern w:val="3"/>
          <w:lang w:eastAsia="zh-CN" w:bidi="hi-IN"/>
        </w:rPr>
        <w:t xml:space="preserve">”. </w:t>
      </w:r>
      <w:bookmarkEnd w:id="18"/>
    </w:p>
    <w:p w14:paraId="1F3D5E53" w14:textId="77777777" w:rsidR="00C679AA" w:rsidRDefault="00C679AA" w:rsidP="00C679AA">
      <w:pPr>
        <w:keepLines/>
        <w:autoSpaceDE w:val="0"/>
        <w:adjustRightInd w:val="0"/>
        <w:jc w:val="both"/>
        <w:rPr>
          <w:rFonts w:eastAsia="SimSun" w:cs="Mangal"/>
          <w:kern w:val="3"/>
          <w:lang w:eastAsia="zh-CN" w:bidi="hi-IN"/>
        </w:rPr>
      </w:pPr>
    </w:p>
    <w:p w14:paraId="4FE36429" w14:textId="20255F04" w:rsidR="00C679AA" w:rsidRPr="00C679AA" w:rsidRDefault="00C679AA" w:rsidP="00C679AA">
      <w:pPr>
        <w:keepLines/>
        <w:autoSpaceDE w:val="0"/>
        <w:adjustRightInd w:val="0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 xml:space="preserve">na: </w:t>
      </w:r>
      <w:r w:rsidRPr="00C679AA">
        <w:rPr>
          <w:rFonts w:eastAsia="SimSun" w:cs="Mangal"/>
          <w:kern w:val="3"/>
          <w:lang w:eastAsia="zh-CN" w:bidi="hi-IN"/>
        </w:rPr>
        <w:t>„Zamawiający dopuszcza możliwość elektronicznego złożenia faktury, którą należy wysłać na adres</w:t>
      </w:r>
      <w:r>
        <w:rPr>
          <w:rFonts w:eastAsia="SimSun" w:cs="Mangal"/>
          <w:kern w:val="3"/>
          <w:lang w:eastAsia="zh-CN" w:bidi="hi-IN"/>
        </w:rPr>
        <w:t xml:space="preserve"> </w:t>
      </w:r>
      <w:hyperlink r:id="rId7" w:history="1">
        <w:r w:rsidRPr="00A643D0">
          <w:rPr>
            <w:rStyle w:val="Hipercze"/>
            <w:rFonts w:eastAsia="SimSun" w:cs="Mangal"/>
            <w:kern w:val="3"/>
            <w:lang w:eastAsia="zh-CN" w:bidi="hi-IN"/>
          </w:rPr>
          <w:t>e-faktury.apteka@szpitalzachodni.pl</w:t>
        </w:r>
      </w:hyperlink>
      <w:r w:rsidRPr="00C679AA">
        <w:rPr>
          <w:rFonts w:eastAsia="SimSun" w:cs="Mangal"/>
          <w:kern w:val="3"/>
          <w:lang w:eastAsia="zh-CN" w:bidi="hi-IN"/>
        </w:rPr>
        <w:t>”</w:t>
      </w:r>
      <w:r>
        <w:rPr>
          <w:rFonts w:eastAsia="SimSun" w:cs="Mangal"/>
          <w:kern w:val="3"/>
          <w:lang w:eastAsia="zh-CN" w:bidi="hi-IN"/>
        </w:rPr>
        <w:t xml:space="preserve">. </w:t>
      </w:r>
    </w:p>
    <w:p w14:paraId="16D5E06D" w14:textId="77777777" w:rsidR="00C679AA" w:rsidRDefault="00C679AA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</w:p>
    <w:p w14:paraId="379AF6F2" w14:textId="77777777" w:rsidR="00C679AA" w:rsidRDefault="00C679AA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</w:p>
    <w:p w14:paraId="613C4569" w14:textId="77777777" w:rsidR="00C679AA" w:rsidRDefault="00C679AA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</w:p>
    <w:p w14:paraId="1C1FC809" w14:textId="77777777" w:rsidR="00A35DAC" w:rsidRDefault="00A35DAC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</w:p>
    <w:p w14:paraId="7E732270" w14:textId="77777777" w:rsidR="00A35DAC" w:rsidRDefault="00A35DAC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</w:p>
    <w:p w14:paraId="0783B2C1" w14:textId="77777777" w:rsidR="00A35DAC" w:rsidRDefault="00A35DAC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                                                                                                                          ………………………</w:t>
      </w:r>
    </w:p>
    <w:p w14:paraId="626D44B8" w14:textId="77777777" w:rsidR="00A35DAC" w:rsidRPr="0097444D" w:rsidRDefault="00A35DAC" w:rsidP="00A35DAC">
      <w:pPr>
        <w:keepLines/>
        <w:autoSpaceDE w:val="0"/>
        <w:adjustRightInd w:val="0"/>
        <w:jc w:val="right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  <w:r w:rsidRPr="0097444D">
        <w:rPr>
          <w:rFonts w:cs="Calibri"/>
          <w:color w:val="000000"/>
          <w:lang w:eastAsia="pl-PL"/>
        </w:rPr>
        <w:tab/>
      </w:r>
    </w:p>
    <w:p w14:paraId="14F21FF0" w14:textId="77777777" w:rsidR="00A35DAC" w:rsidRPr="003D628D" w:rsidRDefault="00A35DAC" w:rsidP="00A35DAC">
      <w:pPr>
        <w:jc w:val="both"/>
        <w:rPr>
          <w:b/>
          <w:bCs/>
          <w:lang w:eastAsia="pl-PL"/>
        </w:rPr>
      </w:pPr>
    </w:p>
    <w:p w14:paraId="4F90B416" w14:textId="77777777" w:rsidR="00A35DAC" w:rsidRDefault="00A35DAC"/>
    <w:sectPr w:rsidR="00A35DAC" w:rsidSect="00A35DAC"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4C41" w14:textId="77777777" w:rsidR="00C679AA" w:rsidRDefault="00C679AA">
      <w:r>
        <w:separator/>
      </w:r>
    </w:p>
  </w:endnote>
  <w:endnote w:type="continuationSeparator" w:id="0">
    <w:p w14:paraId="6EBA6E1A" w14:textId="77777777" w:rsidR="00C679AA" w:rsidRDefault="00C6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C7AA" w14:textId="77777777" w:rsidR="00200DAA" w:rsidRDefault="00200DAA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50D770CB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0C856C" w14:textId="77777777" w:rsidR="00200DAA" w:rsidRDefault="00200DAA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036750B6" w14:textId="77777777" w:rsidR="00200DAA" w:rsidRDefault="00200DAA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2D900CBE" w14:textId="77777777" w:rsidR="00200DAA" w:rsidRDefault="00200DAA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A459876" w14:textId="77777777" w:rsidR="00200DAA" w:rsidRDefault="00200DAA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AF6ACA1" w14:textId="77777777" w:rsidR="00200DAA" w:rsidRDefault="00200DAA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54495416" w14:textId="77777777" w:rsidR="00200DAA" w:rsidRDefault="00200DAA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C2BA14B" w14:textId="77777777" w:rsidR="00200DAA" w:rsidRDefault="00200DAA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740EFE93" w14:textId="77777777" w:rsidR="00200DAA" w:rsidRDefault="00200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FBD6" w14:textId="77777777" w:rsidR="00C679AA" w:rsidRDefault="00C679AA">
      <w:r>
        <w:separator/>
      </w:r>
    </w:p>
  </w:footnote>
  <w:footnote w:type="continuationSeparator" w:id="0">
    <w:p w14:paraId="6F46DB8D" w14:textId="77777777" w:rsidR="00C679AA" w:rsidRDefault="00C6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74FD" w14:textId="77777777" w:rsidR="00200DAA" w:rsidRDefault="00200DAA" w:rsidP="005E006A">
    <w:pPr>
      <w:spacing w:line="360" w:lineRule="auto"/>
      <w:ind w:left="-1418"/>
      <w:jc w:val="right"/>
      <w:rPr>
        <w:rFonts w:ascii="Calibri" w:hAnsi="Calibri"/>
        <w:noProof/>
        <w:color w:val="0000FF"/>
        <w:lang w:eastAsia="pl-PL"/>
      </w:rPr>
    </w:pPr>
  </w:p>
  <w:p w14:paraId="383EFCE1" w14:textId="2927F3C2" w:rsidR="00200DAA" w:rsidRDefault="00A35DAC" w:rsidP="00A22897">
    <w:pPr>
      <w:spacing w:line="360" w:lineRule="auto"/>
      <w:ind w:left="-1418" w:right="-712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08E24660" wp14:editId="3251DFF1">
          <wp:extent cx="5758815" cy="1584325"/>
          <wp:effectExtent l="0" t="0" r="0" b="0"/>
          <wp:docPr id="2777413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770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FEC8B" wp14:editId="176F6FFD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20320" b="22860"/>
              <wp:wrapNone/>
              <wp:docPr id="9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002AD" id="Prostokąt 3" o:spid="_x0000_s1026" style="position:absolute;margin-left:250.6pt;margin-top:-10.55pt;width:1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C"/>
    <w:rsid w:val="00170004"/>
    <w:rsid w:val="00200DAA"/>
    <w:rsid w:val="002B2EDE"/>
    <w:rsid w:val="003C76CC"/>
    <w:rsid w:val="0053560E"/>
    <w:rsid w:val="008C0545"/>
    <w:rsid w:val="008D0D98"/>
    <w:rsid w:val="00A35DAC"/>
    <w:rsid w:val="00C679AA"/>
    <w:rsid w:val="00C73BD8"/>
    <w:rsid w:val="00CA5405"/>
    <w:rsid w:val="00CE6DF2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8D094"/>
  <w15:chartTrackingRefBased/>
  <w15:docId w15:val="{944D04C2-964E-4814-AAA7-95BDE7D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5D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5DAC"/>
    <w:rPr>
      <w:color w:val="0000FF"/>
      <w:u w:val="single"/>
    </w:rPr>
  </w:style>
  <w:style w:type="paragraph" w:styleId="Stopka">
    <w:name w:val="footer"/>
    <w:basedOn w:val="Normalny"/>
    <w:link w:val="StopkaZnak"/>
    <w:rsid w:val="00A3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5D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A35D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35D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A35DAC"/>
  </w:style>
  <w:style w:type="character" w:styleId="Nierozpoznanawzmianka">
    <w:name w:val="Unresolved Mention"/>
    <w:basedOn w:val="Domylnaczcionkaakapitu"/>
    <w:uiPriority w:val="99"/>
    <w:semiHidden/>
    <w:unhideWhenUsed/>
    <w:rsid w:val="00C6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-faktury.apteka@szpitalzachodn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teka@szpitalzachodni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TC</dc:creator>
  <cp:keywords/>
  <dc:description/>
  <cp:lastModifiedBy>Informatyk TC</cp:lastModifiedBy>
  <cp:revision>6</cp:revision>
  <cp:lastPrinted>2024-11-07T11:40:00Z</cp:lastPrinted>
  <dcterms:created xsi:type="dcterms:W3CDTF">2024-11-07T07:46:00Z</dcterms:created>
  <dcterms:modified xsi:type="dcterms:W3CDTF">2024-11-07T12:29:00Z</dcterms:modified>
</cp:coreProperties>
</file>