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449FC" w14:textId="77777777" w:rsidR="007D13FD" w:rsidRPr="007D13FD" w:rsidRDefault="00862B94" w:rsidP="00995423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</w:pPr>
      <w:bookmarkStart w:id="0" w:name="_GoBack"/>
      <w:bookmarkEnd w:id="0"/>
      <w:r w:rsidRPr="007D13FD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>Załą</w:t>
      </w:r>
      <w:r w:rsidR="004D7364" w:rsidRPr="007D13FD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 xml:space="preserve">cznik nr </w:t>
      </w:r>
      <w:r w:rsidR="00F36E34" w:rsidRPr="007D13FD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>9</w:t>
      </w:r>
      <w:r w:rsidR="00767BFE" w:rsidRPr="007D13FD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>A</w:t>
      </w:r>
      <w:r w:rsidR="004D7364" w:rsidRPr="007D13FD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 xml:space="preserve"> do SWZ </w:t>
      </w:r>
      <w:r w:rsidR="007D13FD" w:rsidRPr="007D13FD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 xml:space="preserve">– </w:t>
      </w:r>
    </w:p>
    <w:p w14:paraId="6D6A1670" w14:textId="07870AB6" w:rsidR="00862B94" w:rsidRPr="007D13FD" w:rsidRDefault="007D13FD" w:rsidP="00995423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70C0"/>
          <w:sz w:val="24"/>
          <w:szCs w:val="20"/>
          <w:lang w:eastAsia="pl-PL"/>
        </w:rPr>
      </w:pPr>
      <w:r w:rsidRPr="007D13FD">
        <w:rPr>
          <w:rFonts w:ascii="Verdana" w:eastAsia="Times New Roman" w:hAnsi="Verdana" w:cs="Times New Roman"/>
          <w:b/>
          <w:color w:val="0070C0"/>
          <w:sz w:val="20"/>
          <w:szCs w:val="20"/>
          <w:lang w:eastAsia="pl-PL"/>
        </w:rPr>
        <w:t>aktualizacja z dnia 01.08.2023 r.</w:t>
      </w:r>
    </w:p>
    <w:p w14:paraId="19EBBAFB" w14:textId="0C2A26D9" w:rsidR="00862B94" w:rsidRPr="00AA420F" w:rsidRDefault="00862B94" w:rsidP="00862B94">
      <w:pPr>
        <w:spacing w:before="240" w:after="0" w:line="240" w:lineRule="auto"/>
        <w:jc w:val="center"/>
        <w:rPr>
          <w:rFonts w:ascii="Verdana" w:eastAsia="Times New Roman" w:hAnsi="Verdana" w:cs="Arial"/>
          <w:b/>
          <w:sz w:val="28"/>
          <w:szCs w:val="20"/>
          <w:lang w:eastAsia="pl-PL"/>
        </w:rPr>
      </w:pPr>
      <w:r w:rsidRPr="00AA420F">
        <w:rPr>
          <w:rFonts w:ascii="Verdana" w:eastAsia="Times New Roman" w:hAnsi="Verdana" w:cs="Arial"/>
          <w:b/>
          <w:sz w:val="28"/>
          <w:szCs w:val="20"/>
          <w:lang w:eastAsia="pl-PL"/>
        </w:rPr>
        <w:t>SZCZEGÓŁOWY OPIS PRZEDMIOTU ZAMÓWIENIA</w:t>
      </w:r>
      <w:r w:rsidR="009C185F" w:rsidRPr="00AA420F">
        <w:rPr>
          <w:rFonts w:ascii="Verdana" w:eastAsia="Times New Roman" w:hAnsi="Verdana" w:cs="Arial"/>
          <w:b/>
          <w:sz w:val="28"/>
          <w:szCs w:val="20"/>
          <w:lang w:eastAsia="pl-PL"/>
        </w:rPr>
        <w:t xml:space="preserve"> – </w:t>
      </w:r>
      <w:r w:rsidR="006F3168" w:rsidRPr="00AA420F">
        <w:rPr>
          <w:rFonts w:ascii="Verdana" w:eastAsia="Times New Roman" w:hAnsi="Verdana" w:cs="Arial"/>
          <w:b/>
          <w:sz w:val="28"/>
          <w:szCs w:val="20"/>
          <w:lang w:eastAsia="pl-PL"/>
        </w:rPr>
        <w:t>WYMAGANIA PODSTAWOWE</w:t>
      </w:r>
    </w:p>
    <w:p w14:paraId="0370DF11" w14:textId="77777777" w:rsidR="001939DB" w:rsidRPr="00AA420F" w:rsidRDefault="001939DB" w:rsidP="00862B94">
      <w:pPr>
        <w:spacing w:before="240" w:after="0" w:line="240" w:lineRule="auto"/>
        <w:jc w:val="center"/>
        <w:rPr>
          <w:rFonts w:ascii="Verdana" w:eastAsia="Times New Roman" w:hAnsi="Verdana" w:cs="Calibri"/>
          <w:b/>
          <w:sz w:val="18"/>
          <w:szCs w:val="24"/>
          <w:lang w:eastAsia="pl-PL"/>
        </w:rPr>
      </w:pPr>
      <w:r w:rsidRPr="00AA420F">
        <w:rPr>
          <w:rFonts w:ascii="Verdana" w:eastAsia="Times New Roman" w:hAnsi="Verdana" w:cs="Arial"/>
          <w:b/>
          <w:sz w:val="20"/>
          <w:szCs w:val="20"/>
          <w:lang w:eastAsia="pl-PL"/>
        </w:rPr>
        <w:t>WYMAGANIA PODSTAWOWE, NAPISY, DOKUMENTACJE, INSTRUKTAŻ, GWARANCJE</w:t>
      </w:r>
    </w:p>
    <w:p w14:paraId="1C2A4547" w14:textId="77777777" w:rsidR="001939DB" w:rsidRPr="00AA420F" w:rsidRDefault="001939DB" w:rsidP="001939DB">
      <w:pPr>
        <w:spacing w:before="60" w:after="0" w:line="240" w:lineRule="auto"/>
        <w:ind w:left="-284" w:right="-144"/>
        <w:jc w:val="both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</w:p>
    <w:p w14:paraId="1CB06DD1" w14:textId="77777777" w:rsidR="00862B94" w:rsidRPr="00AA420F" w:rsidRDefault="00862B94" w:rsidP="00862B94">
      <w:pPr>
        <w:spacing w:after="0"/>
        <w:jc w:val="both"/>
        <w:rPr>
          <w:rFonts w:ascii="Verdana" w:eastAsia="Times New Roman" w:hAnsi="Verdana" w:cs="Arial"/>
          <w:b/>
          <w:sz w:val="18"/>
          <w:szCs w:val="20"/>
          <w:lang w:eastAsia="pl-PL"/>
        </w:rPr>
      </w:pPr>
    </w:p>
    <w:p w14:paraId="3771A72B" w14:textId="77777777" w:rsidR="00862B94" w:rsidRPr="00AA420F" w:rsidRDefault="00862B94" w:rsidP="00862B94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WYMAGANIA PODSTAWOWE.</w:t>
      </w:r>
    </w:p>
    <w:p w14:paraId="1E26F7F6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Przedmiotem zamówienia jest:</w:t>
      </w:r>
    </w:p>
    <w:p w14:paraId="58035BF4" w14:textId="77777777" w:rsidR="00862B94" w:rsidRPr="00AA420F" w:rsidRDefault="004D7364" w:rsidP="003D1ABD">
      <w:pPr>
        <w:spacing w:before="60"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czterech</w:t>
      </w:r>
      <w:r w:rsidR="00862B94" w:rsidRPr="00AA420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fabrycznie nowych elektrycznych autobusów miejskich, niskopodłogowych, jednoczłonowych, jednej marki, przeznaczonych do wykonywania przewozów w publicznej komunikacji miejskiej,</w:t>
      </w:r>
    </w:p>
    <w:p w14:paraId="13EB7357" w14:textId="77777777" w:rsidR="00862B94" w:rsidRPr="00AA420F" w:rsidRDefault="00862B94" w:rsidP="003D1ABD">
      <w:pPr>
        <w:spacing w:before="60" w:after="0" w:line="240" w:lineRule="auto"/>
        <w:ind w:left="880" w:firstLine="113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Oznaczenie według CPV: </w:t>
      </w:r>
    </w:p>
    <w:p w14:paraId="4AB47FF6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34121100-2 Autobusy transportu publicznego,</w:t>
      </w:r>
    </w:p>
    <w:p w14:paraId="099DD26B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34121400-5 Autobusy niskopodłogowe,</w:t>
      </w:r>
    </w:p>
    <w:p w14:paraId="069E0261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34144910-0 Autobusy elektryczne</w:t>
      </w:r>
      <w:r w:rsidR="00AC11EF"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14:paraId="76CDFCDB" w14:textId="77777777" w:rsidR="00AC11EF" w:rsidRPr="00AA420F" w:rsidRDefault="00AC11EF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31158000-8 Ładowarki,</w:t>
      </w:r>
    </w:p>
    <w:p w14:paraId="576A518C" w14:textId="77777777" w:rsidR="00AC11EF" w:rsidRPr="00AA420F" w:rsidRDefault="00AC11EF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31158100-9 Ładowarki do baterii.</w:t>
      </w:r>
    </w:p>
    <w:p w14:paraId="24C74898" w14:textId="77777777" w:rsidR="00862B94" w:rsidRPr="00AA420F" w:rsidRDefault="00862B94" w:rsidP="003D1ABD">
      <w:pPr>
        <w:spacing w:before="60" w:after="0" w:line="240" w:lineRule="auto"/>
        <w:ind w:left="880" w:firstLine="113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Słownik uzupełniający:</w:t>
      </w:r>
    </w:p>
    <w:p w14:paraId="0C38B5CE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CB10-1 z napędem elektrycznym,</w:t>
      </w:r>
    </w:p>
    <w:p w14:paraId="76A3575B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CB42-7 zasilane z baterii/ akumulatorowe,</w:t>
      </w:r>
    </w:p>
    <w:p w14:paraId="735B2EBF" w14:textId="77777777" w:rsidR="00862B94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EA12-8 przystosowane dla osób niepełnosprawnych,</w:t>
      </w:r>
    </w:p>
    <w:p w14:paraId="0C1D5CC9" w14:textId="77777777" w:rsidR="00AC11EF" w:rsidRPr="00AA420F" w:rsidRDefault="00862B94" w:rsidP="003D1ABD">
      <w:pPr>
        <w:spacing w:before="60" w:after="0" w:line="240" w:lineRule="auto"/>
        <w:ind w:left="1418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EA21-5 przysto</w:t>
      </w:r>
      <w:r w:rsidR="00AC11EF"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sowane dla osób słabo widzących.</w:t>
      </w:r>
    </w:p>
    <w:p w14:paraId="5D7D472F" w14:textId="77777777" w:rsidR="00862B94" w:rsidRPr="00AA420F" w:rsidRDefault="00862B94" w:rsidP="00862B94">
      <w:pPr>
        <w:spacing w:before="60" w:after="0" w:line="240" w:lineRule="auto"/>
        <w:ind w:left="1985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2A20D0CF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Sprzedający oświadcza, że dostarczane autobusy spełniają, co najmniej w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ymagania 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i warunki określone w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47F75CE8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trike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Rozporządzenie Parlamentu Europejskiego i Rady (UE) 2018/858 z dnia 30 maja 2018 r. w sprawie homologacji i nadzoru rynku pojazdów silnikowych i ich przyczep oraz układów, komponentów i oddzielnych zespołów technicznych przeznaczonych do tych pojazdów, zmieniające rozporządzenie (WE) nr 715/2007 </w:t>
      </w:r>
      <w:r w:rsidR="003D1ABD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i (WE) nr 595/2009 oraz uchylające dyrektywę 2007/46/WE (Tekst mający znaczenie dla EOG.)</w:t>
      </w:r>
      <w:r w:rsidR="00F36E3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7B40399" w14:textId="77777777" w:rsidR="00F36E34" w:rsidRPr="00AA420F" w:rsidRDefault="00F36E34" w:rsidP="00F36E3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Rozporządzenie Parlamentu Europejskiego i Rady (UE) 2019/2144 z dnia 27 listopada 2019 r. w sprawie wymogów dotyczących homologacji typu pojazdów silnikowych i ich przyczep oraz układów, komponentów i oddzielnych zespołów technicznych przeznaczonych do tych pojazdów, w odniesieniu do ich ogólnego bezpieczeństwa oraz ochrony osób znajdujących się w pojeździe i niechronionych uczestników ruchu drogowego, zmieniające rozporządzenie Parlamentu Europejskiego i Rady (UE) 2018/858 oraz uchylające rozporządzenia Parlamentu Europejskiego i Rady (WE) nr 78/2009, (WE) nr 79/2009 i (WE) nr 661/2009 oraz rozporządzenia Komisji (WE) nr 631/2009, (UE) nr 406/2010, (UE) nr 672/2010, (UE) nr 1003/2010, (UE) nr 1005/2010, (UE) nr 1008/2010, (UE) nr 1009/2010, (UE) nr 19/2011, (UE) nr 109/2011, (UE) nr 458/2011, (UE) nr 65/2012, (UE) nr 130/2012, (UE) nr 347/2012, (UE) nr 351/2012, (UE) nr 1230/2012 i (UE) 2015/166 (Tekst mający znaczenie dla EOG).</w:t>
      </w:r>
    </w:p>
    <w:p w14:paraId="4FFB042F" w14:textId="77777777" w:rsidR="00862B94" w:rsidRPr="00AA420F" w:rsidRDefault="00862B94" w:rsidP="00F36E3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Regulaminie nr 107 Europejskiej Komisji Gospodarczej Organizacji Narodów Zjednoczonych (EKG ONZ) - Jednolite przepisy dotyczące homologacji pojazdów kategorii M2 lub M3 w odniesieniu do ich budowy ogólnej  [2018/237] (Dz.U.UE.L.2018.52.1 z dnia 2018.02.23), zwanego dalej Regulaminem nr 107 EKG ONZ - w zakresie wymagań dotyczących pojazdów kategorii M3 klasy I - niskopodłogowych.</w:t>
      </w:r>
    </w:p>
    <w:p w14:paraId="6BDC65CC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Rozpor</w:t>
      </w:r>
      <w:r w:rsidR="007D5A98" w:rsidRPr="00AA420F">
        <w:rPr>
          <w:rFonts w:ascii="Verdana" w:eastAsia="Times New Roman" w:hAnsi="Verdana" w:cs="Times New Roman"/>
          <w:sz w:val="20"/>
          <w:szCs w:val="20"/>
          <w:lang w:eastAsia="pl-PL"/>
        </w:rPr>
        <w:t>ządzeniu Ministra Transportu, Budownictwa i Gospodarki Morskiej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dnia 25 marca 2013 r., w sprawie homologacji typu pojazdów samochodowych i przyczep oraz ich przedmiotów wyposażenia </w:t>
      </w:r>
      <w:r w:rsidR="007D5A98" w:rsidRPr="00AA420F">
        <w:rPr>
          <w:rFonts w:ascii="Verdana" w:eastAsia="Times New Roman" w:hAnsi="Verdana" w:cs="Times New Roman"/>
          <w:sz w:val="20"/>
          <w:szCs w:val="20"/>
          <w:lang w:eastAsia="pl-PL"/>
        </w:rPr>
        <w:t>lub części (Dz.U.2015.1475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późniejszymi zmianami), zwanego dalej Rozporządzeniem w sprawie homologacji </w:t>
      </w:r>
      <w:r w:rsidR="007D5A98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typu -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zakresie wymagań dotyczących pojazdów kategorii M3.</w:t>
      </w:r>
    </w:p>
    <w:p w14:paraId="013A4471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Rozporządzeniu Ministra Infrastruktury z dnia 31 grudnia 2002 roku w sprawie warunków technicznych pojazdów oraz zakresu ich niezbędnego wyposażenia (Dz.U.2016 poz. 2022 z dnia 15.12.2016 r. z późn. zm.), zwanego dalej Rozporządzeniem w sprawie warunków technicznych - w zakresie wymagań dotyczących pojazdów kategorii M3 klasy I a w szczególności wymagań dotyczących dopuszczalnych wymiarów, mas pojazdu i nacisków osi opisanych </w:t>
      </w:r>
      <w:r w:rsidR="003D1ABD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Dziale II tego rozporządzenia.</w:t>
      </w:r>
    </w:p>
    <w:p w14:paraId="336043F2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Regulaminie nr 100 Europejskiej Komisji Gospodarczej Organizacji Narodów Zjednoczonych (EKG ONZ) - Jednolite przepisy dotyczące homologacji pojazdów </w:t>
      </w:r>
      <w:r w:rsidR="003D1ABD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zakresie szczególnych wymagań dotyczących elektrycznego układu napędowego, [2015/505] (Dz.U.UE.L.2015.87.1 z dnia 2015.03.31), obejmujący wszystkie obowiązujące teksty, w tym Suplement nr 1 do serii poprawek 02- ze zmianami do Regulaminu nr 100 EKG ONZ [2018/1858], zwanego dalej Regulaminem nr 100 EKG ONZ.</w:t>
      </w:r>
    </w:p>
    <w:p w14:paraId="0F1B6ACB" w14:textId="77777777" w:rsidR="00862B94" w:rsidRPr="00AA420F" w:rsidRDefault="00707412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Wszystkich obowiązujących przepisach i normach w zakresie wymagań dotyczących pojazdów kategorii M3 klasy I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 J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akość dostarczanych autobusów będzie odpowiadać wymaganiom Polskich Norm lub norm branżowych. Zespoły (podz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espoły) będą oznaczone zgodnie 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obowiązującymi przepisami, a w szczególności będą oznaczone znakiem bezpieczeństwa.</w:t>
      </w:r>
    </w:p>
    <w:p w14:paraId="29DC9E7D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Oferowane autobusy winny bezwzględnie posiadać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aktualne „Świadectwo Homologacji Typu Pojazdu” lub „Świadectwo Homologacji Typu Pojazdu WE”, wraz z załącznikami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, wydane zgodnie z obowiązującymi przepisami</w:t>
      </w:r>
      <w:r w:rsidR="00086C61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a w szczególności na podstawie ustawy z dnia 20 czerwca 1997 r. - P</w:t>
      </w:r>
      <w:r w:rsidR="00386290" w:rsidRPr="00AA420F">
        <w:rPr>
          <w:rFonts w:ascii="Verdana" w:eastAsia="Times New Roman" w:hAnsi="Verdana" w:cs="Times New Roman"/>
          <w:sz w:val="20"/>
          <w:szCs w:val="20"/>
          <w:lang w:eastAsia="pl-PL"/>
        </w:rPr>
        <w:t>rawo o ruchu drogowym (Dz.U.2022 poz. 988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 późn. zm.) oraz Rozporządzeniem Ministra  </w:t>
      </w:r>
      <w:r w:rsidR="00EC3B07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Transportu, Budownictwa i Gospodarki Morskiej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dnia 25 marca 2013 r., w sprawie homologacji typu pojazdów samochodowych i przyczep oraz ich przedmiotów wyposażenia lub części (Dz.U.</w:t>
      </w:r>
      <w:r w:rsidR="00EC3B07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2015</w:t>
      </w:r>
      <w:r w:rsidR="00EC3B07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poz</w:t>
      </w:r>
      <w:r w:rsidR="00501D8B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.1475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 późniejszymi zmianami) -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wymagany odpis świadectwa homologacji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dostarczony przez Sprzedającego</w:t>
      </w:r>
      <w:r w:rsidR="0061491F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F36E3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dniu dostawy przedmiotu zamów</w:t>
      </w:r>
      <w:r w:rsidR="00BC25FE" w:rsidRPr="00AA420F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F36E3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enia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FB8EE1A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sytuacji, gdy w okresie pomiędzy zł</w:t>
      </w:r>
      <w:r w:rsidR="008B6E2F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ożeniem przez Wykonawcę oferty </w:t>
      </w:r>
      <w:r w:rsidR="008B6E2F"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postępowaniu o udzielenie zamówienia, a realizacją umowy, nastąpi zmiana przepisów prawa w zakres</w:t>
      </w:r>
      <w:r w:rsidR="00AB4F53" w:rsidRPr="00AA420F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e rejestracji, homologacji, sprzedaży lub wprowadzenia do użytku nowych autobusów (a także zespołów i podzespołów do tych autobusów), Wykonawca ten obowiązany jest zr</w:t>
      </w:r>
      <w:r w:rsidR="008B6E2F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ealizować przedmiot zamówienia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uwzględnieniem tychże zmian. W szczególności obowiązek ten dotyczy dostarczenia Zamawiającemu autobusów spełniających wymagania określone wyżej wymienionymi przepisami, jak również dokumentów umożliwiających zarejestrowanie tych autobusów na terenie Rzeczypospolitej Polskiej.</w:t>
      </w:r>
    </w:p>
    <w:p w14:paraId="44931E9E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Dostarczone autobusy jednoczłonowe muszą być jednej marki i w danym typie identyczne pod względem konstrukcyjnym, parametrów technicznych, kompletacji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i wyposażenia</w:t>
      </w:r>
      <w:r w:rsidR="00E2189E" w:rsidRPr="00AA420F">
        <w:rPr>
          <w:rFonts w:ascii="Verdana" w:eastAsia="Times New Roman" w:hAnsi="Verdana" w:cs="Times New Roman"/>
          <w:sz w:val="20"/>
          <w:szCs w:val="20"/>
          <w:lang w:eastAsia="pl-PL"/>
        </w:rPr>
        <w:t>, przystosowane konstrukcyjnie do ruchu prawostronnego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Autobusy muszą być fabrycznie nowe, a rok produkcji nie może być inny niż rok, w którym autobusy będą dostarczone Zamawiającemu </w:t>
      </w:r>
      <w:r w:rsidR="00AB4F53" w:rsidRPr="00AA420F">
        <w:rPr>
          <w:rFonts w:ascii="Verdana" w:eastAsia="Times New Roman" w:hAnsi="Verdana" w:cs="Times New Roman"/>
          <w:sz w:val="20"/>
          <w:szCs w:val="20"/>
          <w:lang w:eastAsia="pl-PL"/>
        </w:rPr>
        <w:t>lub okres liczony od daty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produkcji autobusów do dnia ich dostawy nie będzie dłuższy niż 6 miesięcy. Zamawiający dopuszcza dokonanie przez Wykonawcę testów eksploatacyjnych zamawianych autobusów – będących normalnym etapem produkcji i sprawdzania sprawności produkowanych autob</w:t>
      </w:r>
      <w:r w:rsidR="0061491F" w:rsidRPr="00AA420F">
        <w:rPr>
          <w:rFonts w:ascii="Verdana" w:eastAsia="Times New Roman" w:hAnsi="Verdana" w:cs="Times New Roman"/>
          <w:sz w:val="20"/>
          <w:szCs w:val="20"/>
          <w:lang w:eastAsia="pl-PL"/>
        </w:rPr>
        <w:t>usów w ilości nie większej niż 5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00 km przebiegu na autobus.</w:t>
      </w:r>
    </w:p>
    <w:p w14:paraId="5B0A7A50" w14:textId="77777777" w:rsidR="00862B94" w:rsidRPr="00AA420F" w:rsidRDefault="00862B94" w:rsidP="00F579B5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p1i4"/>
      <w:bookmarkStart w:id="2" w:name="p1i5"/>
      <w:bookmarkStart w:id="3" w:name="p1i6"/>
      <w:bookmarkStart w:id="4" w:name="p1i8"/>
      <w:bookmarkEnd w:id="1"/>
      <w:bookmarkEnd w:id="2"/>
      <w:bookmarkEnd w:id="3"/>
      <w:bookmarkEnd w:id="4"/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Konstrukcja pojazdu i zastosowane rozwiązania mają gwarantować, co najmniej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15 lat eksploatacji w temperaturach otaczającego powietrza w miejscach zacienionych od minus 25ºC do plus 40ºC.</w:t>
      </w:r>
      <w:bookmarkStart w:id="5" w:name="p25i12"/>
      <w:bookmarkEnd w:id="5"/>
    </w:p>
    <w:p w14:paraId="3C03283A" w14:textId="77777777" w:rsidR="00B2786D" w:rsidRPr="00AA420F" w:rsidRDefault="00B2786D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211152" w14:textId="77777777" w:rsidR="006F3168" w:rsidRPr="00AA420F" w:rsidRDefault="006F3168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7A2635C" w14:textId="77777777" w:rsidR="006F3168" w:rsidRPr="00AA420F" w:rsidRDefault="006F3168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FC6481" w14:textId="77777777" w:rsidR="005A0C26" w:rsidRPr="00AA420F" w:rsidRDefault="005A0C26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A8731D" w14:textId="77777777" w:rsidR="005A0C26" w:rsidRPr="00AA420F" w:rsidRDefault="005A0C26" w:rsidP="00862B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02B18C1" w14:textId="77777777" w:rsidR="00862B94" w:rsidRPr="00AA420F" w:rsidRDefault="00862B94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NAPISY INFORMACYJNE I IDENT</w:t>
      </w:r>
      <w:r w:rsidR="005A1816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YFIKUJĄCE</w:t>
      </w:r>
    </w:p>
    <w:p w14:paraId="70617C3A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Tabliczki wskazujące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języku polskim, zgodne z Rozporządzeniem Ministra Infrastruktury z dnia 31.12.2002 r.  w sprawie warunków technicznych pojazdów oraz zakresu ich niezbędnego wyposażenia (DZ.U.2016 poz.2022 z dnia 15.12.2016 r. z późn. zm.).</w:t>
      </w:r>
    </w:p>
    <w:p w14:paraId="66E7AE49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6" w:name="p26i4"/>
      <w:bookmarkStart w:id="7" w:name="p26i2"/>
      <w:bookmarkEnd w:id="6"/>
      <w:bookmarkEnd w:id="7"/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Kompletne oznakowanie graficzne autobusu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6116120A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Zunifikowana numeracja boczna, herb miasta, logo MPK, piktogramy, informacje o monitoringu, kompletne zestawy informacji pasażerskiej wewnętrznej wraz z zaprojektowaniem czytelnego i wygodnego rozmieszczenia oznakowań dla osób słabo widzących. Należy uwzględnić unifikację wizerunku.   </w:t>
      </w:r>
    </w:p>
    <w:p w14:paraId="26BEFC93" w14:textId="77777777" w:rsidR="00862B94" w:rsidRPr="00AA420F" w:rsidRDefault="0082188C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Oferowane autobusy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muszą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posiadać oznakowanie w postaci symboli graficznych/piktogramów (</w:t>
      </w:r>
      <w:r w:rsidR="0034202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międzynarodowy 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symbol wózka </w:t>
      </w:r>
      <w:r w:rsidR="0034202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inwalidzkiego)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widoczne z zewnątrz, 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>zarówno z przodu po prawej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stronie pojazdu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oraz </w:t>
      </w:r>
      <w:r w:rsidR="00006B3A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przycisku sygnalizującym zamiar wsiadania przez osobę niepełnosprawną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przy drzwiach lub na drzwiach z rampą dla wózków inwalidzkich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7EC5F4F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Symbole graficzne umieszcza się także wewnątrz pojazdu</w:t>
      </w:r>
      <w:r w:rsidR="00D638CC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przy przycisku specjalnym,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bezpośrednim sąsi</w:t>
      </w:r>
      <w:r w:rsidR="00037C15" w:rsidRPr="00AA420F">
        <w:rPr>
          <w:rFonts w:ascii="Verdana" w:eastAsia="Times New Roman" w:hAnsi="Verdana" w:cs="Times New Roman"/>
          <w:sz w:val="20"/>
          <w:szCs w:val="20"/>
          <w:lang w:eastAsia="pl-PL"/>
        </w:rPr>
        <w:t>edztwie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4202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stanowiska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dla osób poruszających się na wózkach lub siedzenia specjalnego.</w:t>
      </w:r>
    </w:p>
    <w:p w14:paraId="12110D41" w14:textId="77777777" w:rsidR="00862B94" w:rsidRPr="00AA420F" w:rsidRDefault="00862B94" w:rsidP="00862B94">
      <w:pPr>
        <w:numPr>
          <w:ilvl w:val="2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Powierzchnie przekraczające 0,5 m2 obejmujące szyby boczne pojazdów wykonane </w:t>
      </w:r>
      <w:r w:rsidRPr="00AA420F">
        <w:rPr>
          <w:rFonts w:ascii="Verdana" w:eastAsia="Times New Roman" w:hAnsi="Verdana" w:cs="Times New Roman"/>
          <w:bCs/>
          <w:sz w:val="20"/>
          <w:szCs w:val="20"/>
          <w:lang w:eastAsia="pl-PL"/>
        </w:rPr>
        <w:t>techniką solventową na foliach ONW (One Way Vision)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celem zachowania widoczności. Oznakowanie, m.in. numeracja boczna pojazdów może zostać wykonana dopiero po zarejestrowaniu pojazdów.</w:t>
      </w:r>
    </w:p>
    <w:p w14:paraId="333628E4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p26i5"/>
      <w:bookmarkEnd w:id="8"/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Rodzaj użytej folii</w:t>
      </w:r>
      <w:r w:rsidRPr="00AA420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: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wszystkie oznakowania, muszą być wykonane ze specjalistycznej folii z tzw. klejem min. 7-letnim, odpornej na przebarwienia i UV.</w:t>
      </w:r>
    </w:p>
    <w:p w14:paraId="3FCB8819" w14:textId="77777777" w:rsidR="00862B94" w:rsidRPr="00AA420F" w:rsidRDefault="00862B94" w:rsidP="00862B94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30F5AE" w14:textId="77777777" w:rsidR="00862B94" w:rsidRPr="00AA420F" w:rsidRDefault="005A1816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DOKUMENTACJE </w:t>
      </w:r>
      <w:r w:rsidR="00862B94"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374E02CE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Wymienione poniżej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dokumenty w języku polskim</w:t>
      </w:r>
      <w:r w:rsidR="00D638CC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z chwilą dostawy.</w:t>
      </w:r>
    </w:p>
    <w:p w14:paraId="46CE7692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Karty charakterystyki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produktu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wszystkich substancji chemicznych zastosowanych w pojeździe (dostarczyć najpóźniej z chwilą pierwszej dostawy).</w:t>
      </w:r>
    </w:p>
    <w:p w14:paraId="79A7A1CB" w14:textId="77777777" w:rsidR="00862B94" w:rsidRPr="00AA420F" w:rsidRDefault="00862B94" w:rsidP="009C35CB">
      <w:pPr>
        <w:spacing w:before="60" w:after="0" w:line="240" w:lineRule="auto"/>
        <w:ind w:left="85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Arial"/>
          <w:sz w:val="20"/>
          <w:szCs w:val="20"/>
          <w:lang w:eastAsia="pl-PL"/>
        </w:rPr>
        <w:t>Zamawiający dopuszcza, aby Wykonawca w odniesieniu do środków smarnych</w:t>
      </w:r>
      <w:r w:rsidRPr="00AA420F">
        <w:rPr>
          <w:rFonts w:ascii="Verdana" w:eastAsia="Times New Roman" w:hAnsi="Verdana" w:cs="Arial"/>
          <w:sz w:val="20"/>
          <w:szCs w:val="20"/>
          <w:lang w:eastAsia="pl-PL"/>
        </w:rPr>
        <w:br/>
        <w:t>i materiałów eksploatacyjnych niezbędnych do stosowania w celu zapewnienia odpowiedniej obsługi technicznej i prawidłowej eksploatacji autobusów, przekazał Zamawiającemu razem z dostarczonymi pojazdami aktualny na czas dostawy, sporządzony w wersji elektronicznej (plik*.pdf), wykaz wszystkich zalecanych do stosowania przez producenta autobusów środków smarnych i materiałów eksploatacyjnych. Wykaz taki zawierający nazwy handlowe oraz dodatkowe szczegółowe informacje o dopuszczonych do stosowania produktach może być - w trakcie późniejszej eksploatacji autobusów – dostarczany przez Wykonawcę w ramach udzielonej autoryzacji wewnętrznej - w zaktualizowanej wersji do Zamawiającego na każde jego wezwanie.</w:t>
      </w:r>
    </w:p>
    <w:p w14:paraId="2EF6D206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Zaświadczenie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emisyjności pojazdu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DE3EB99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Książka pojazdu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 1/autobus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3BD227FF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Karta gwarancyjna autobusu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 1/autobus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wymagane dostarczenie przed podpisaniem protokołu odbioru końcowego autobusu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08552C32" w14:textId="77777777" w:rsidR="0003614A" w:rsidRPr="00AA420F" w:rsidRDefault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Karty gwarancyjne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wpisanymi numerami fabrycznymi dla wszystkich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podzespołów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i urządzeń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zamontowanych w każdym z autobusów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wymagane dostarczenie przed podpisaniem protokołu odbioru końcowego autobusu. </w:t>
      </w:r>
    </w:p>
    <w:p w14:paraId="468D2360" w14:textId="77777777" w:rsidR="00911169" w:rsidRPr="00AA420F" w:rsidRDefault="0003614A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Karty gwarancyjne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mobilnych urządzeń ładujących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wymagane dostarczenie przed podpisaniem protokołu odbioru końcowego autobusu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2F92EFF8" w14:textId="77777777" w:rsidR="00862B94" w:rsidRPr="00AA420F" w:rsidRDefault="00911169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Protokół odbioru UDT </w:t>
      </w:r>
      <w:r w:rsidR="004D5653" w:rsidRPr="00AA420F">
        <w:rPr>
          <w:rFonts w:ascii="Verdana" w:eastAsia="Times New Roman" w:hAnsi="Verdana" w:cs="Times New Roman"/>
          <w:sz w:val="20"/>
          <w:szCs w:val="20"/>
          <w:lang w:eastAsia="pl-PL"/>
        </w:rPr>
        <w:t>mobilnych urządzeń ładujących (wymagane dostarczenie przed podpisaniem protokołu odbioru końcowego autobusu).</w:t>
      </w:r>
      <w:r w:rsidR="00862B94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330CCB9F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Instrukcje obsługi urządzeń montowanych w pojazdach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– po 1 szt./pojazd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br/>
        <w:t>w wersji papierowej oraz dodatkowo 2 szt. papierowe + wersja elektroniczna na płycie CD/DVD dla całej dostawy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0CEC5407" w14:textId="77777777" w:rsidR="00862B94" w:rsidRPr="00AA420F" w:rsidRDefault="00862B94" w:rsidP="00CC0827">
      <w:pPr>
        <w:numPr>
          <w:ilvl w:val="1"/>
          <w:numId w:val="10"/>
        </w:numPr>
        <w:spacing w:before="60" w:after="0" w:line="240" w:lineRule="auto"/>
        <w:ind w:left="850" w:hanging="56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Instrukcje obsługi dla kierowców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– po 1 szt./pojazd w wersji papierowej oraz dodatkowo 2 szt. papierowe + wersja elektroniczna na płycie CD/DVD dla całej dostawy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61604C09" w14:textId="77777777" w:rsidR="00862B94" w:rsidRPr="00AA420F" w:rsidRDefault="00862B94" w:rsidP="00862B94">
      <w:pPr>
        <w:spacing w:before="60" w:after="0" w:line="240" w:lineRule="auto"/>
        <w:ind w:left="96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Zamawiający wyraża zgodę na zastąpienie formy papierowej dokumentacji dostępem (nieodpłatnym) do serwerów, na których umieszczona jest dokumentacja.</w:t>
      </w:r>
    </w:p>
    <w:p w14:paraId="4651D7A6" w14:textId="77777777" w:rsidR="00862B94" w:rsidRPr="00AA420F" w:rsidRDefault="00862B94" w:rsidP="00CC0827">
      <w:pPr>
        <w:numPr>
          <w:ilvl w:val="1"/>
          <w:numId w:val="10"/>
        </w:numPr>
        <w:spacing w:before="60" w:after="0" w:line="240" w:lineRule="auto"/>
        <w:ind w:left="794" w:hanging="51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b/>
          <w:sz w:val="20"/>
          <w:szCs w:val="20"/>
          <w:lang w:eastAsia="pl-PL"/>
        </w:rPr>
        <w:t>Instrukcje warsztatowe napraw i obsług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wersja elektroniczna na CD/DVD na dostawę (plus wersja online)</w:t>
      </w:r>
      <w:r w:rsidR="00E903EB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4CCAE81A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>Katalogi części zamiennych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 2 CD/DVD na dostawę (plus wersja online)</w:t>
      </w:r>
      <w:r w:rsidR="00E903EB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1F36FD65" w14:textId="77777777" w:rsidR="00862B94" w:rsidRPr="003B0B51" w:rsidRDefault="00862B94" w:rsidP="00890CB6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Schematy instalacji elektrycznej i pneumatycznej 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po 2 CD/DVD na dostawę</w:t>
      </w:r>
      <w:r w:rsidR="00E903EB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należy dostarczyć najpóźniej z chwilą dostawy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bookmarkStart w:id="9" w:name="p28i12"/>
      <w:bookmarkStart w:id="10" w:name="p28i13"/>
      <w:bookmarkStart w:id="11" w:name="p28i14"/>
      <w:bookmarkEnd w:id="9"/>
      <w:bookmarkEnd w:id="10"/>
      <w:bookmarkEnd w:id="11"/>
    </w:p>
    <w:p w14:paraId="4AB0FB33" w14:textId="77777777" w:rsidR="00F25C82" w:rsidRPr="003B0B51" w:rsidRDefault="00F25C82" w:rsidP="00F25C82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FD78FF" w14:textId="6C4D14B8" w:rsidR="00F25C82" w:rsidRPr="003B0B51" w:rsidRDefault="00F25C82" w:rsidP="00F25C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Bold"/>
          <w:b/>
          <w:bCs/>
          <w:color w:val="000000"/>
          <w:sz w:val="20"/>
          <w:szCs w:val="20"/>
        </w:rPr>
      </w:pPr>
      <w:r w:rsidRPr="003B0B51">
        <w:rPr>
          <w:rFonts w:ascii="Verdana" w:hAnsi="Verdana" w:cs="Arial"/>
          <w:bCs/>
          <w:sz w:val="20"/>
          <w:szCs w:val="20"/>
        </w:rPr>
        <w:t>Zamawiający zaakceptuje zmianę nośnika dla wersji elektronicznej z CD/DVD na inny np. pendrive dla dokumentacji wymienionej w pkt 3.9, 3.10, 3.11, 3.12 i 3.13.</w:t>
      </w:r>
    </w:p>
    <w:p w14:paraId="0FDA33AF" w14:textId="77777777" w:rsidR="00F25C82" w:rsidRPr="003B0B51" w:rsidRDefault="00F25C82" w:rsidP="00F25C82">
      <w:p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BA3DE44" w14:textId="77777777" w:rsidR="00862B94" w:rsidRPr="003B0B51" w:rsidRDefault="00862B94" w:rsidP="00862B94">
      <w:pPr>
        <w:numPr>
          <w:ilvl w:val="0"/>
          <w:numId w:val="10"/>
        </w:numPr>
        <w:spacing w:before="120" w:after="120" w:line="240" w:lineRule="auto"/>
        <w:ind w:left="480" w:hanging="48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INSTRUKTAŻ DOTYCZĄCY WŁASCIWEJ EKSPLOATACJI I OBSŁUGI OFEROWANYCH AUTOBUSÓW </w:t>
      </w:r>
    </w:p>
    <w:p w14:paraId="7892909F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Wykonawca, we własnym zakresie przeprowadzi w siedzibie Zamawiającego lub MPK w Łomży sp. z o.o., instruktaż </w:t>
      </w:r>
      <w:r w:rsidR="007B117A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>co najmniej 8</w:t>
      </w:r>
      <w:r w:rsidR="00817ADC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  <w:r w:rsidR="00E903EB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i nie więcej niż 15 </w:t>
      </w:r>
      <w:r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>kierowców w zakresie umożliwiającym prawidłową obsługę autobusów, użytkowanie autobusu, techniki jazdy, bezpieczeństwa użytkowania oraz obsługi codziennej pojazdu</w:t>
      </w:r>
      <w:r w:rsidR="00F36E34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w terminie 10 dni roboczych </w:t>
      </w:r>
      <w:r w:rsidR="0038078D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>od zarejestrowania</w:t>
      </w:r>
      <w:r w:rsidR="00F36E34"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autobusów.</w:t>
      </w:r>
      <w:r w:rsidRPr="003B0B51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</w:t>
      </w:r>
    </w:p>
    <w:p w14:paraId="29C30D43" w14:textId="77777777" w:rsidR="00F36E34" w:rsidRPr="00AA420F" w:rsidRDefault="00862B94" w:rsidP="00F36E34">
      <w:pPr>
        <w:pStyle w:val="Akapitzlist"/>
        <w:numPr>
          <w:ilvl w:val="1"/>
          <w:numId w:val="10"/>
        </w:numPr>
        <w:jc w:val="both"/>
        <w:rPr>
          <w:rFonts w:ascii="Verdana" w:hAnsi="Verdana"/>
          <w:sz w:val="20"/>
        </w:rPr>
      </w:pPr>
      <w:r w:rsidRPr="003B0B51">
        <w:rPr>
          <w:rFonts w:ascii="Verdana" w:hAnsi="Verdana"/>
          <w:sz w:val="20"/>
        </w:rPr>
        <w:t>Wykonawca we własnym zakresie przepr</w:t>
      </w:r>
      <w:r w:rsidR="00B415A3" w:rsidRPr="003B0B51">
        <w:rPr>
          <w:rFonts w:ascii="Verdana" w:hAnsi="Verdana"/>
          <w:sz w:val="20"/>
        </w:rPr>
        <w:t>owadzi instruktaż, co najmniej 8</w:t>
      </w:r>
      <w:r w:rsidR="00E903EB" w:rsidRPr="003B0B51">
        <w:rPr>
          <w:rFonts w:ascii="Verdana" w:hAnsi="Verdana"/>
          <w:sz w:val="20"/>
        </w:rPr>
        <w:t xml:space="preserve"> </w:t>
      </w:r>
      <w:r w:rsidR="00E903EB" w:rsidRPr="003B0B51">
        <w:rPr>
          <w:rFonts w:ascii="Verdana" w:hAnsi="Verdana" w:cs="Arial"/>
          <w:iCs/>
          <w:sz w:val="20"/>
        </w:rPr>
        <w:t>i nie więcej niż 15</w:t>
      </w:r>
      <w:r w:rsidRPr="003B0B51">
        <w:rPr>
          <w:rFonts w:ascii="Verdana" w:hAnsi="Verdana"/>
          <w:sz w:val="20"/>
        </w:rPr>
        <w:t xml:space="preserve"> pracowników warsztatu w zakresie zasad</w:t>
      </w:r>
      <w:r w:rsidRPr="00AA420F">
        <w:rPr>
          <w:rFonts w:ascii="Verdana" w:hAnsi="Verdana"/>
          <w:sz w:val="20"/>
        </w:rPr>
        <w:t xml:space="preserve"> obsługi i naprawy oferowanych autobusów</w:t>
      </w:r>
      <w:r w:rsidR="00F36E34" w:rsidRPr="00AA420F">
        <w:t xml:space="preserve"> </w:t>
      </w:r>
      <w:r w:rsidR="0038078D" w:rsidRPr="00AA420F">
        <w:rPr>
          <w:rFonts w:ascii="Verdana" w:hAnsi="Verdana"/>
          <w:sz w:val="20"/>
        </w:rPr>
        <w:t>w terminie 10 dni roboczych od zarejestrowania</w:t>
      </w:r>
      <w:r w:rsidR="00F36E34" w:rsidRPr="00AA420F">
        <w:rPr>
          <w:rFonts w:ascii="Verdana" w:hAnsi="Verdana"/>
          <w:sz w:val="20"/>
        </w:rPr>
        <w:t xml:space="preserve"> autobusów. </w:t>
      </w:r>
    </w:p>
    <w:p w14:paraId="3AE09397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 przypadku wprowadzenia przez Wykonawcę jakichkolwiek zmian i modernizacji konstrukcyjnych dostarczonych autobusów lub ich podzespołów i części, w tym oprogramowania to Wykonawca zapewni dodatkowy instruktaż pracowników serwisu naprawczego MPK w Łomży sp. z o. o.</w:t>
      </w:r>
      <w:r w:rsidR="00D76148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ilości 5 osób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zakresie wprowadzonych zmian i modernizacji</w:t>
      </w:r>
      <w:r w:rsidR="00504F18" w:rsidRPr="00AA420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ciągu 10 dni od momentu wprowadzenia zmian lub </w:t>
      </w:r>
      <w:r w:rsidR="00504F18" w:rsidRPr="003B0B51">
        <w:rPr>
          <w:rFonts w:ascii="Verdana" w:eastAsia="Times New Roman" w:hAnsi="Verdana" w:cs="Times New Roman"/>
          <w:sz w:val="20"/>
          <w:szCs w:val="20"/>
          <w:lang w:eastAsia="pl-PL"/>
        </w:rPr>
        <w:t>modernizacji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48ACFF0" w14:textId="77777777" w:rsidR="009616B7" w:rsidRPr="003B0B51" w:rsidRDefault="009616B7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Zamawiający poinformuje Wykonawcę o zarejestrowaniu autobusów za pośrednictwem poczty elektronicznej na adres wskazany w umowie.</w:t>
      </w:r>
    </w:p>
    <w:p w14:paraId="6C57F9FC" w14:textId="77777777" w:rsidR="00862B94" w:rsidRPr="003B0B51" w:rsidRDefault="00862B94" w:rsidP="00862B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1E238C" w14:textId="77777777" w:rsidR="00862B94" w:rsidRPr="003B0B51" w:rsidRDefault="00862B94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WYMAGANE GWARANCJE </w:t>
      </w:r>
    </w:p>
    <w:p w14:paraId="4D467405" w14:textId="36BE6FA8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Gwarancja całopojazdowa: </w:t>
      </w:r>
      <w:r w:rsidR="00EC1779" w:rsidRPr="003B0B5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minimum </w:t>
      </w:r>
      <w:r w:rsidR="00303C42" w:rsidRPr="003B0B5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>5 lat</w:t>
      </w:r>
      <w:r w:rsidRPr="003B0B51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 (bez limitu kilometrów)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B0B51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UWAGA: KRYTERIUM PUNKTOWANE</w:t>
      </w:r>
    </w:p>
    <w:p w14:paraId="22DDCC91" w14:textId="20C44E8E" w:rsidR="005A1816" w:rsidRPr="007D13FD" w:rsidRDefault="007D13FD" w:rsidP="00F579B5">
      <w:pPr>
        <w:pStyle w:val="Akapitzlist"/>
        <w:numPr>
          <w:ilvl w:val="1"/>
          <w:numId w:val="10"/>
        </w:numPr>
        <w:jc w:val="both"/>
        <w:rPr>
          <w:rFonts w:ascii="Verdana" w:hAnsi="Verdana"/>
          <w:b/>
          <w:color w:val="0070C0"/>
          <w:sz w:val="20"/>
        </w:rPr>
      </w:pPr>
      <w:r w:rsidRPr="007D13FD">
        <w:rPr>
          <w:rFonts w:ascii="Verdana" w:hAnsi="Verdana"/>
          <w:b/>
          <w:color w:val="0070C0"/>
          <w:sz w:val="20"/>
        </w:rPr>
        <w:t>Skreślony</w:t>
      </w:r>
      <w:r w:rsidR="005A1816" w:rsidRPr="007D13FD">
        <w:rPr>
          <w:rFonts w:ascii="Verdana" w:hAnsi="Verdana"/>
          <w:b/>
          <w:color w:val="0070C0"/>
          <w:sz w:val="20"/>
        </w:rPr>
        <w:t>.</w:t>
      </w:r>
    </w:p>
    <w:p w14:paraId="31FDADF8" w14:textId="3E5C6B5B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Gwarancja na perforację korozyjną, poszycia zewnętrznego nadwozia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: </w:t>
      </w: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min. 12 – letnia.</w:t>
      </w:r>
      <w:r w:rsidR="00035808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6C07CE05" w14:textId="66C88F1D" w:rsidR="00862B94" w:rsidRPr="003B0B51" w:rsidRDefault="00862B94" w:rsidP="00295093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</w:t>
      </w:r>
      <w:r w:rsidR="00EC1779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cja na baterie trakcyjne: min. 8</w:t>
      </w: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– letnia.</w:t>
      </w:r>
      <w:r w:rsidR="00035808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B0B51">
        <w:rPr>
          <w:rFonts w:ascii="Verdana" w:eastAsia="Times New Roman" w:hAnsi="Verdana" w:cs="Times New Roman"/>
          <w:b/>
          <w:color w:val="FF0000"/>
          <w:sz w:val="20"/>
          <w:szCs w:val="20"/>
          <w:lang w:eastAsia="pl-PL"/>
        </w:rPr>
        <w:t>UWAGA: KRYTERIUM PUNKTOWANE</w:t>
      </w:r>
    </w:p>
    <w:p w14:paraId="0277883C" w14:textId="37274BE3" w:rsidR="00862B94" w:rsidRPr="003B0B51" w:rsidRDefault="00862B94" w:rsidP="005C08FB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Gwarancja na zewnętr</w:t>
      </w:r>
      <w:r w:rsidR="00534817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zne powłoki lakiernicze: min. </w:t>
      </w:r>
      <w:r w:rsidR="00303C42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4 lata</w:t>
      </w: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3B0B51">
        <w:rPr>
          <w:rFonts w:ascii="Verdana" w:eastAsia="Times New Roman" w:hAnsi="Verdana" w:cs="Times New Roman"/>
          <w:sz w:val="20"/>
          <w:szCs w:val="24"/>
          <w:lang w:eastAsia="pl-PL"/>
        </w:rPr>
        <w:t xml:space="preserve">Zastosowane lakiery 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wysokiej odporności na UV i podwyższonej twardości gwarantują trwałość barwy i grubości powłoki lakierniczej w warunkach eksploatacyjnych w Łomży.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3EB2275C" w14:textId="08BAA660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Gwarancja na dostępność części zamiennych: min 15 lat</w:t>
      </w:r>
      <w:r w:rsidR="00142EEF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  <w:r w:rsidRPr="003B0B51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="00142EEF" w:rsidRPr="003B0B51">
        <w:rPr>
          <w:rFonts w:ascii="Verdana" w:eastAsia="Times New Roman" w:hAnsi="Verdana" w:cs="Times New Roman"/>
          <w:sz w:val="20"/>
          <w:szCs w:val="20"/>
          <w:lang w:eastAsia="pl-PL"/>
        </w:rPr>
        <w:t>Możliwość zakupu wszystkich części zamiennych (konstrukcji, poszycia, podzespołów, urządzeń, etc.)</w:t>
      </w:r>
      <w:r w:rsidR="00142EEF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przez min. 15 lat 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od zakończenia produkcji oferowanego modelu autobusu</w:t>
      </w:r>
      <w:r w:rsidR="00142EEF" w:rsidRPr="003B0B5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39CCBCA" w14:textId="3629610D" w:rsidR="00F80AAC" w:rsidRPr="003B0B51" w:rsidRDefault="00F80AAC" w:rsidP="00833DE3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Gwarancja na zastosowany system wykrywania i gaszenia ognia: min. 12 lat. </w:t>
      </w:r>
      <w:r w:rsidR="00833DE3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>Gwarancja musi obejmować wszystkie czynności obsługowe i naprawcze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(wraz z </w:t>
      </w:r>
      <w:r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>materiałami) na koszt gwaranta</w:t>
      </w:r>
      <w:r w:rsidR="00833DE3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>.</w:t>
      </w:r>
      <w:r w:rsidR="00035808" w:rsidRPr="003B0B51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4142ED48" w14:textId="1246BD9C" w:rsidR="00F36E34" w:rsidRPr="003B0B51" w:rsidRDefault="00EC1779" w:rsidP="00BC25FE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Gwarancja na ładowarki mobilne: min. </w:t>
      </w:r>
      <w:r w:rsidR="00303C42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3 lata</w:t>
      </w:r>
      <w:r w:rsidR="00F36E34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  <w:r w:rsidR="00035808" w:rsidRPr="003B0B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035808" w:rsidRPr="003B0B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Okres gwarancji </w:t>
      </w:r>
      <w:r w:rsidR="00035808" w:rsidRPr="003B0B51">
        <w:rPr>
          <w:rFonts w:ascii="Verdana" w:hAnsi="Verdana" w:cstheme="minorHAnsi"/>
          <w:color w:val="000000"/>
          <w:sz w:val="20"/>
          <w:szCs w:val="20"/>
        </w:rPr>
        <w:t>liczony od dnia odbioru ostatecznego.</w:t>
      </w:r>
    </w:p>
    <w:p w14:paraId="748FE982" w14:textId="77777777" w:rsidR="006F3168" w:rsidRPr="003B0B51" w:rsidRDefault="006F3168" w:rsidP="00F25C82">
      <w:pPr>
        <w:spacing w:before="60"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703540A6" w14:textId="77777777" w:rsidR="00862B94" w:rsidRPr="003B0B51" w:rsidRDefault="00862B94" w:rsidP="00862B9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POZOSTAŁE INFORMACJE </w:t>
      </w:r>
    </w:p>
    <w:p w14:paraId="45FE1378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Ilekroć w opisie przedmiotu zamówienia jest mowa o materiałach z podaniem znaków towarowych, patentów, nazw własnych lub pochodzenia, to przyjmuje się, że wskazaniom takim towarzyszą wyrazy „lub równoważne”.</w:t>
      </w:r>
    </w:p>
    <w:p w14:paraId="3F3DC37A" w14:textId="77777777" w:rsidR="00862B94" w:rsidRPr="003B0B51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B0B51">
        <w:rPr>
          <w:rFonts w:ascii="Verdana" w:eastAsia="Times New Roman" w:hAnsi="Verdana" w:cs="Times New Roman"/>
          <w:sz w:val="20"/>
          <w:szCs w:val="20"/>
          <w:lang w:eastAsia="pl-PL"/>
        </w:rPr>
        <w:t>Oznaczenia i nazwy własne materiałów i produktów służą wyłącznie do opisania minimalnych parametrów technicznych, które powinny spełniać te produkty, oraz wskazaniu standardu jakościowego.</w:t>
      </w:r>
    </w:p>
    <w:p w14:paraId="3F80F3D7" w14:textId="77777777" w:rsidR="00862B94" w:rsidRPr="00AA420F" w:rsidRDefault="00862B94" w:rsidP="00862B94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Ilekroć w opisie przedmiotu zamówienia następuje odniesienie do norm, ocen technicznych, specyfikacji technicznych i systemów referencji technicznych, zamawiający dopuszcza rozwiązania równoważne opisywanym. Przyjmuje się, że</w:t>
      </w:r>
      <w:r w:rsidRPr="00AA420F">
        <w:rPr>
          <w:rFonts w:ascii="Verdana" w:eastAsia="Times New Roman" w:hAnsi="Verdana" w:cs="Times New Roman"/>
          <w:sz w:val="24"/>
          <w:szCs w:val="20"/>
          <w:lang w:eastAsia="pl-PL"/>
        </w:rPr>
        <w:t xml:space="preserve"> </w:t>
      </w: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odniesieniu takiemu towarzyszą wyrazy "lub równoważne".</w:t>
      </w:r>
    </w:p>
    <w:p w14:paraId="511754BF" w14:textId="77777777" w:rsidR="006A50BC" w:rsidRPr="00AA420F" w:rsidRDefault="006A50BC" w:rsidP="006A50BC">
      <w:pPr>
        <w:numPr>
          <w:ilvl w:val="1"/>
          <w:numId w:val="10"/>
        </w:numPr>
        <w:spacing w:before="6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A420F">
        <w:rPr>
          <w:rFonts w:ascii="Verdana" w:eastAsia="Times New Roman" w:hAnsi="Verdana" w:cs="Times New Roman"/>
          <w:sz w:val="20"/>
          <w:szCs w:val="20"/>
          <w:lang w:eastAsia="pl-PL"/>
        </w:rPr>
        <w:t>Wykonawca, który powołuje się na rozwiązania równoważne w opisanym przez Zamawiającego przedmiocie zamówienia jest obowiązany wykazać, że oferowane przez niego dostawy spełniają wymagania określone przez Zamawiającego. W takiej sytuacji Zamawiający wymaga złożenia stosownych dokumentów, potwierdzających spełnienie wymagań.</w:t>
      </w:r>
    </w:p>
    <w:p w14:paraId="071B14D5" w14:textId="77777777" w:rsidR="00F73FBE" w:rsidRPr="006A50BC" w:rsidRDefault="00F73FBE" w:rsidP="00F73FBE">
      <w:pPr>
        <w:spacing w:before="60" w:after="0" w:line="240" w:lineRule="auto"/>
        <w:ind w:left="792"/>
        <w:jc w:val="both"/>
        <w:rPr>
          <w:rFonts w:ascii="Verdana" w:eastAsia="Times New Roman" w:hAnsi="Verdana" w:cs="Times New Roman"/>
          <w:color w:val="00B050"/>
          <w:sz w:val="20"/>
          <w:szCs w:val="20"/>
          <w:lang w:eastAsia="pl-PL"/>
        </w:rPr>
      </w:pPr>
    </w:p>
    <w:sectPr w:rsidR="00F73FBE" w:rsidRPr="006A50BC" w:rsidSect="00F579B5">
      <w:headerReference w:type="even" r:id="rId7"/>
      <w:footerReference w:type="even" r:id="rId8"/>
      <w:endnotePr>
        <w:numFmt w:val="decimal"/>
      </w:endnotePr>
      <w:type w:val="continuous"/>
      <w:pgSz w:w="11906" w:h="16838"/>
      <w:pgMar w:top="1134" w:right="851" w:bottom="851" w:left="1418" w:header="36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0817A" w14:textId="77777777" w:rsidR="0021623A" w:rsidRDefault="0021623A">
      <w:pPr>
        <w:spacing w:after="0" w:line="240" w:lineRule="auto"/>
      </w:pPr>
      <w:r>
        <w:separator/>
      </w:r>
    </w:p>
  </w:endnote>
  <w:endnote w:type="continuationSeparator" w:id="0">
    <w:p w14:paraId="310732DC" w14:textId="77777777" w:rsidR="0021623A" w:rsidRDefault="0021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47F1" w14:textId="77777777" w:rsidR="00295093" w:rsidRDefault="00295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F1BFB0" w14:textId="77777777" w:rsidR="00295093" w:rsidRDefault="002950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E24C" w14:textId="77777777" w:rsidR="0021623A" w:rsidRDefault="0021623A">
      <w:pPr>
        <w:spacing w:after="0" w:line="240" w:lineRule="auto"/>
      </w:pPr>
      <w:r>
        <w:separator/>
      </w:r>
    </w:p>
  </w:footnote>
  <w:footnote w:type="continuationSeparator" w:id="0">
    <w:p w14:paraId="6EAF7ED6" w14:textId="77777777" w:rsidR="0021623A" w:rsidRDefault="0021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B0418" w14:textId="77777777" w:rsidR="00295093" w:rsidRDefault="00295093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8D900" w14:textId="77777777" w:rsidR="00295093" w:rsidRDefault="00295093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84B6E4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C369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F8A1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921E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55F3D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F708FD"/>
    <w:multiLevelType w:val="hybridMultilevel"/>
    <w:tmpl w:val="FA1C90F4"/>
    <w:lvl w:ilvl="0" w:tplc="77904F5C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F4412D"/>
    <w:multiLevelType w:val="hybridMultilevel"/>
    <w:tmpl w:val="F28A2F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9830B4"/>
    <w:multiLevelType w:val="hybridMultilevel"/>
    <w:tmpl w:val="43F0B698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5DC"/>
    <w:multiLevelType w:val="hybridMultilevel"/>
    <w:tmpl w:val="EBA0E202"/>
    <w:lvl w:ilvl="0" w:tplc="9AD8F9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9DA2BDF"/>
    <w:multiLevelType w:val="hybridMultilevel"/>
    <w:tmpl w:val="8EA6DCDC"/>
    <w:lvl w:ilvl="0" w:tplc="77904F5C">
      <w:start w:val="1"/>
      <w:numFmt w:val="bullet"/>
      <w:lvlText w:val=""/>
      <w:lvlJc w:val="left"/>
      <w:pPr>
        <w:ind w:left="2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10" w15:restartNumberingAfterBreak="0">
    <w:nsid w:val="44AD6086"/>
    <w:multiLevelType w:val="hybridMultilevel"/>
    <w:tmpl w:val="5E265C32"/>
    <w:lvl w:ilvl="0" w:tplc="77904F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B85F16"/>
    <w:multiLevelType w:val="hybridMultilevel"/>
    <w:tmpl w:val="587E3C84"/>
    <w:lvl w:ilvl="0" w:tplc="77904F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DE0BCC"/>
    <w:multiLevelType w:val="hybridMultilevel"/>
    <w:tmpl w:val="90BAB2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2153"/>
    <w:multiLevelType w:val="hybridMultilevel"/>
    <w:tmpl w:val="65AE4300"/>
    <w:lvl w:ilvl="0" w:tplc="77904F5C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4" w15:restartNumberingAfterBreak="0">
    <w:nsid w:val="62DB33C4"/>
    <w:multiLevelType w:val="hybridMultilevel"/>
    <w:tmpl w:val="4ACE3F78"/>
    <w:lvl w:ilvl="0" w:tplc="77904F5C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15" w15:restartNumberingAfterBreak="0">
    <w:nsid w:val="68902273"/>
    <w:multiLevelType w:val="hybridMultilevel"/>
    <w:tmpl w:val="A9EC599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77904F5C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210E8F"/>
    <w:multiLevelType w:val="hybridMultilevel"/>
    <w:tmpl w:val="10F835D4"/>
    <w:lvl w:ilvl="0" w:tplc="1402CD8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74576BA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252079"/>
    <w:multiLevelType w:val="hybridMultilevel"/>
    <w:tmpl w:val="07F0DF0E"/>
    <w:lvl w:ilvl="0" w:tplc="77904F5C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16"/>
  </w:num>
  <w:num w:numId="15">
    <w:abstractNumId w:val="13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94"/>
    <w:rsid w:val="0000543F"/>
    <w:rsid w:val="00006B3A"/>
    <w:rsid w:val="00010815"/>
    <w:rsid w:val="0001311A"/>
    <w:rsid w:val="00015AE0"/>
    <w:rsid w:val="00023FDD"/>
    <w:rsid w:val="00031223"/>
    <w:rsid w:val="00035808"/>
    <w:rsid w:val="0003614A"/>
    <w:rsid w:val="00037C15"/>
    <w:rsid w:val="00054040"/>
    <w:rsid w:val="000715A9"/>
    <w:rsid w:val="000754FA"/>
    <w:rsid w:val="00076403"/>
    <w:rsid w:val="00086C61"/>
    <w:rsid w:val="00095C0F"/>
    <w:rsid w:val="000A3AB7"/>
    <w:rsid w:val="000C05D5"/>
    <w:rsid w:val="000C6CD4"/>
    <w:rsid w:val="000D1B49"/>
    <w:rsid w:val="000D437A"/>
    <w:rsid w:val="000F2B43"/>
    <w:rsid w:val="000F3F26"/>
    <w:rsid w:val="000F51D7"/>
    <w:rsid w:val="00100492"/>
    <w:rsid w:val="001018F3"/>
    <w:rsid w:val="00103199"/>
    <w:rsid w:val="00103B4A"/>
    <w:rsid w:val="0010538E"/>
    <w:rsid w:val="001057C5"/>
    <w:rsid w:val="00106CCE"/>
    <w:rsid w:val="00107AD5"/>
    <w:rsid w:val="00107BA9"/>
    <w:rsid w:val="001164E0"/>
    <w:rsid w:val="00133591"/>
    <w:rsid w:val="00137174"/>
    <w:rsid w:val="001410B4"/>
    <w:rsid w:val="00142EEF"/>
    <w:rsid w:val="001455E1"/>
    <w:rsid w:val="001565B0"/>
    <w:rsid w:val="001603CB"/>
    <w:rsid w:val="00162C45"/>
    <w:rsid w:val="00163722"/>
    <w:rsid w:val="00171532"/>
    <w:rsid w:val="00184A8E"/>
    <w:rsid w:val="00192117"/>
    <w:rsid w:val="001939DB"/>
    <w:rsid w:val="001B0404"/>
    <w:rsid w:val="001B2016"/>
    <w:rsid w:val="001B29C3"/>
    <w:rsid w:val="001B7F87"/>
    <w:rsid w:val="001C0CFD"/>
    <w:rsid w:val="001D11A2"/>
    <w:rsid w:val="001D5E54"/>
    <w:rsid w:val="001E1639"/>
    <w:rsid w:val="001E6B49"/>
    <w:rsid w:val="00211850"/>
    <w:rsid w:val="0021623A"/>
    <w:rsid w:val="00216F5F"/>
    <w:rsid w:val="00220491"/>
    <w:rsid w:val="00233E79"/>
    <w:rsid w:val="002360FD"/>
    <w:rsid w:val="00242BDE"/>
    <w:rsid w:val="002532CC"/>
    <w:rsid w:val="00254819"/>
    <w:rsid w:val="00256216"/>
    <w:rsid w:val="00261AE1"/>
    <w:rsid w:val="00266025"/>
    <w:rsid w:val="00270B47"/>
    <w:rsid w:val="00272499"/>
    <w:rsid w:val="002801FC"/>
    <w:rsid w:val="002804EE"/>
    <w:rsid w:val="002806D7"/>
    <w:rsid w:val="00282A12"/>
    <w:rsid w:val="0028526D"/>
    <w:rsid w:val="00294BF6"/>
    <w:rsid w:val="00295093"/>
    <w:rsid w:val="00296E41"/>
    <w:rsid w:val="002A5E34"/>
    <w:rsid w:val="002B663B"/>
    <w:rsid w:val="002C4B14"/>
    <w:rsid w:val="002E31C4"/>
    <w:rsid w:val="002E66DA"/>
    <w:rsid w:val="002F4039"/>
    <w:rsid w:val="00302706"/>
    <w:rsid w:val="00303C42"/>
    <w:rsid w:val="00314286"/>
    <w:rsid w:val="00317B45"/>
    <w:rsid w:val="00330906"/>
    <w:rsid w:val="0033775B"/>
    <w:rsid w:val="00342024"/>
    <w:rsid w:val="003560A0"/>
    <w:rsid w:val="00362031"/>
    <w:rsid w:val="00367297"/>
    <w:rsid w:val="0038078D"/>
    <w:rsid w:val="00383A94"/>
    <w:rsid w:val="00386290"/>
    <w:rsid w:val="00390297"/>
    <w:rsid w:val="003A7311"/>
    <w:rsid w:val="003B0B51"/>
    <w:rsid w:val="003B35FB"/>
    <w:rsid w:val="003D1ABD"/>
    <w:rsid w:val="003D2119"/>
    <w:rsid w:val="003D23E5"/>
    <w:rsid w:val="003E4680"/>
    <w:rsid w:val="004078B2"/>
    <w:rsid w:val="004106D9"/>
    <w:rsid w:val="004112D5"/>
    <w:rsid w:val="00414920"/>
    <w:rsid w:val="00424CB4"/>
    <w:rsid w:val="00425325"/>
    <w:rsid w:val="004262AF"/>
    <w:rsid w:val="0043657D"/>
    <w:rsid w:val="004520B9"/>
    <w:rsid w:val="00457376"/>
    <w:rsid w:val="00486A63"/>
    <w:rsid w:val="004901EB"/>
    <w:rsid w:val="0049041E"/>
    <w:rsid w:val="004A43F0"/>
    <w:rsid w:val="004A7A30"/>
    <w:rsid w:val="004B3CED"/>
    <w:rsid w:val="004C06AC"/>
    <w:rsid w:val="004D5653"/>
    <w:rsid w:val="004D7364"/>
    <w:rsid w:val="004F4AB4"/>
    <w:rsid w:val="004F7531"/>
    <w:rsid w:val="004F7BC7"/>
    <w:rsid w:val="005015F8"/>
    <w:rsid w:val="00501D8B"/>
    <w:rsid w:val="00504954"/>
    <w:rsid w:val="00504F18"/>
    <w:rsid w:val="00505737"/>
    <w:rsid w:val="00516E73"/>
    <w:rsid w:val="0052468B"/>
    <w:rsid w:val="0053349F"/>
    <w:rsid w:val="00534817"/>
    <w:rsid w:val="0053657E"/>
    <w:rsid w:val="00537A0C"/>
    <w:rsid w:val="00573A09"/>
    <w:rsid w:val="00585EF7"/>
    <w:rsid w:val="00592425"/>
    <w:rsid w:val="005A0C26"/>
    <w:rsid w:val="005A1816"/>
    <w:rsid w:val="005B6577"/>
    <w:rsid w:val="005C08FB"/>
    <w:rsid w:val="005C0901"/>
    <w:rsid w:val="005C57D1"/>
    <w:rsid w:val="005D33D9"/>
    <w:rsid w:val="005D71D5"/>
    <w:rsid w:val="005E04BA"/>
    <w:rsid w:val="005F5E5F"/>
    <w:rsid w:val="00604A17"/>
    <w:rsid w:val="00605D58"/>
    <w:rsid w:val="0061491F"/>
    <w:rsid w:val="006254A3"/>
    <w:rsid w:val="006316A4"/>
    <w:rsid w:val="00631E72"/>
    <w:rsid w:val="0063649C"/>
    <w:rsid w:val="00647FDA"/>
    <w:rsid w:val="00656257"/>
    <w:rsid w:val="0067123E"/>
    <w:rsid w:val="00672045"/>
    <w:rsid w:val="0067406C"/>
    <w:rsid w:val="00677448"/>
    <w:rsid w:val="0068640D"/>
    <w:rsid w:val="00686821"/>
    <w:rsid w:val="00696147"/>
    <w:rsid w:val="006A50BC"/>
    <w:rsid w:val="006A5F2F"/>
    <w:rsid w:val="006A5FB5"/>
    <w:rsid w:val="006B353A"/>
    <w:rsid w:val="006B52EF"/>
    <w:rsid w:val="006B5C01"/>
    <w:rsid w:val="006C3AFE"/>
    <w:rsid w:val="006C62F5"/>
    <w:rsid w:val="006D164A"/>
    <w:rsid w:val="006D26F1"/>
    <w:rsid w:val="006D4200"/>
    <w:rsid w:val="006D615B"/>
    <w:rsid w:val="006E73B9"/>
    <w:rsid w:val="006F3168"/>
    <w:rsid w:val="006F6760"/>
    <w:rsid w:val="00703C43"/>
    <w:rsid w:val="00707412"/>
    <w:rsid w:val="007145C4"/>
    <w:rsid w:val="00724A0E"/>
    <w:rsid w:val="00733D91"/>
    <w:rsid w:val="00740925"/>
    <w:rsid w:val="0076379D"/>
    <w:rsid w:val="007639C3"/>
    <w:rsid w:val="00767BFE"/>
    <w:rsid w:val="00772CBB"/>
    <w:rsid w:val="00774291"/>
    <w:rsid w:val="0077587B"/>
    <w:rsid w:val="007759C4"/>
    <w:rsid w:val="00783D69"/>
    <w:rsid w:val="007857BA"/>
    <w:rsid w:val="00786E79"/>
    <w:rsid w:val="007A0CB7"/>
    <w:rsid w:val="007A1AD8"/>
    <w:rsid w:val="007B117A"/>
    <w:rsid w:val="007B5065"/>
    <w:rsid w:val="007C06D4"/>
    <w:rsid w:val="007C3C0F"/>
    <w:rsid w:val="007C601D"/>
    <w:rsid w:val="007D13FD"/>
    <w:rsid w:val="007D56A4"/>
    <w:rsid w:val="007D5A98"/>
    <w:rsid w:val="007F1365"/>
    <w:rsid w:val="00817ADC"/>
    <w:rsid w:val="0082188C"/>
    <w:rsid w:val="00823E5D"/>
    <w:rsid w:val="00831517"/>
    <w:rsid w:val="00833DE3"/>
    <w:rsid w:val="00836441"/>
    <w:rsid w:val="00851205"/>
    <w:rsid w:val="00852F5A"/>
    <w:rsid w:val="008537BC"/>
    <w:rsid w:val="00862B94"/>
    <w:rsid w:val="00865864"/>
    <w:rsid w:val="00890CB6"/>
    <w:rsid w:val="008B6E2F"/>
    <w:rsid w:val="008C041C"/>
    <w:rsid w:val="008D1AD1"/>
    <w:rsid w:val="008E2498"/>
    <w:rsid w:val="008E7173"/>
    <w:rsid w:val="008E7929"/>
    <w:rsid w:val="00911169"/>
    <w:rsid w:val="00915C14"/>
    <w:rsid w:val="00917D53"/>
    <w:rsid w:val="00922A11"/>
    <w:rsid w:val="00925095"/>
    <w:rsid w:val="00932D6F"/>
    <w:rsid w:val="009352D6"/>
    <w:rsid w:val="00942267"/>
    <w:rsid w:val="00942AEE"/>
    <w:rsid w:val="00943E77"/>
    <w:rsid w:val="009616B7"/>
    <w:rsid w:val="009658BE"/>
    <w:rsid w:val="00972A92"/>
    <w:rsid w:val="00982C5B"/>
    <w:rsid w:val="00992607"/>
    <w:rsid w:val="00995423"/>
    <w:rsid w:val="009A541B"/>
    <w:rsid w:val="009C1614"/>
    <w:rsid w:val="009C185F"/>
    <w:rsid w:val="009C1DBF"/>
    <w:rsid w:val="009C35CB"/>
    <w:rsid w:val="009C35CD"/>
    <w:rsid w:val="009C6E63"/>
    <w:rsid w:val="009D19F3"/>
    <w:rsid w:val="009E099A"/>
    <w:rsid w:val="009E3F8D"/>
    <w:rsid w:val="009E47FF"/>
    <w:rsid w:val="00A16E4D"/>
    <w:rsid w:val="00A4050F"/>
    <w:rsid w:val="00A51554"/>
    <w:rsid w:val="00A562E3"/>
    <w:rsid w:val="00A638A1"/>
    <w:rsid w:val="00A72F9B"/>
    <w:rsid w:val="00A835CE"/>
    <w:rsid w:val="00A941EB"/>
    <w:rsid w:val="00AA420F"/>
    <w:rsid w:val="00AA632D"/>
    <w:rsid w:val="00AA6BE5"/>
    <w:rsid w:val="00AB0926"/>
    <w:rsid w:val="00AB4F53"/>
    <w:rsid w:val="00AB504E"/>
    <w:rsid w:val="00AC11EF"/>
    <w:rsid w:val="00AD1CD0"/>
    <w:rsid w:val="00AE08B5"/>
    <w:rsid w:val="00AE4998"/>
    <w:rsid w:val="00AE75F8"/>
    <w:rsid w:val="00B10732"/>
    <w:rsid w:val="00B2434F"/>
    <w:rsid w:val="00B27366"/>
    <w:rsid w:val="00B2786D"/>
    <w:rsid w:val="00B40750"/>
    <w:rsid w:val="00B415A3"/>
    <w:rsid w:val="00B66CF1"/>
    <w:rsid w:val="00B73A8C"/>
    <w:rsid w:val="00B7466E"/>
    <w:rsid w:val="00B75064"/>
    <w:rsid w:val="00B85C94"/>
    <w:rsid w:val="00B97810"/>
    <w:rsid w:val="00BA0D0B"/>
    <w:rsid w:val="00BA6B73"/>
    <w:rsid w:val="00BB48F6"/>
    <w:rsid w:val="00BC25FE"/>
    <w:rsid w:val="00BC3E9E"/>
    <w:rsid w:val="00BD2A83"/>
    <w:rsid w:val="00BD7F05"/>
    <w:rsid w:val="00BE3630"/>
    <w:rsid w:val="00BE6842"/>
    <w:rsid w:val="00BF25B9"/>
    <w:rsid w:val="00C05443"/>
    <w:rsid w:val="00C057CE"/>
    <w:rsid w:val="00C07237"/>
    <w:rsid w:val="00C121F0"/>
    <w:rsid w:val="00C2022F"/>
    <w:rsid w:val="00C23C0E"/>
    <w:rsid w:val="00C23CE0"/>
    <w:rsid w:val="00C36C68"/>
    <w:rsid w:val="00C46E76"/>
    <w:rsid w:val="00C57D18"/>
    <w:rsid w:val="00C821FB"/>
    <w:rsid w:val="00C915DA"/>
    <w:rsid w:val="00C94A84"/>
    <w:rsid w:val="00CB483A"/>
    <w:rsid w:val="00CC0827"/>
    <w:rsid w:val="00CC5AB5"/>
    <w:rsid w:val="00CC7718"/>
    <w:rsid w:val="00CD3038"/>
    <w:rsid w:val="00CE4CF1"/>
    <w:rsid w:val="00CF04D5"/>
    <w:rsid w:val="00CF2D34"/>
    <w:rsid w:val="00D0624A"/>
    <w:rsid w:val="00D13F9B"/>
    <w:rsid w:val="00D245C4"/>
    <w:rsid w:val="00D27A69"/>
    <w:rsid w:val="00D330C6"/>
    <w:rsid w:val="00D33D63"/>
    <w:rsid w:val="00D434E4"/>
    <w:rsid w:val="00D43C64"/>
    <w:rsid w:val="00D60DE6"/>
    <w:rsid w:val="00D638CC"/>
    <w:rsid w:val="00D6552D"/>
    <w:rsid w:val="00D74E62"/>
    <w:rsid w:val="00D76148"/>
    <w:rsid w:val="00DA28DB"/>
    <w:rsid w:val="00DA676E"/>
    <w:rsid w:val="00DC2D84"/>
    <w:rsid w:val="00DD0B08"/>
    <w:rsid w:val="00DD17E9"/>
    <w:rsid w:val="00DD39F8"/>
    <w:rsid w:val="00DD7516"/>
    <w:rsid w:val="00DE7193"/>
    <w:rsid w:val="00DE7F08"/>
    <w:rsid w:val="00DF025F"/>
    <w:rsid w:val="00DF2597"/>
    <w:rsid w:val="00DF55BC"/>
    <w:rsid w:val="00DF60EB"/>
    <w:rsid w:val="00E00112"/>
    <w:rsid w:val="00E0579B"/>
    <w:rsid w:val="00E06DF7"/>
    <w:rsid w:val="00E12607"/>
    <w:rsid w:val="00E2189E"/>
    <w:rsid w:val="00E30DCD"/>
    <w:rsid w:val="00E45EF0"/>
    <w:rsid w:val="00E46898"/>
    <w:rsid w:val="00E52F3C"/>
    <w:rsid w:val="00E54222"/>
    <w:rsid w:val="00E5545A"/>
    <w:rsid w:val="00E867DA"/>
    <w:rsid w:val="00E903EB"/>
    <w:rsid w:val="00E9410C"/>
    <w:rsid w:val="00EA2137"/>
    <w:rsid w:val="00EA7507"/>
    <w:rsid w:val="00EB5124"/>
    <w:rsid w:val="00EB5A0B"/>
    <w:rsid w:val="00EC1572"/>
    <w:rsid w:val="00EC1779"/>
    <w:rsid w:val="00EC3B07"/>
    <w:rsid w:val="00EE5F56"/>
    <w:rsid w:val="00EE60DC"/>
    <w:rsid w:val="00EF1570"/>
    <w:rsid w:val="00F03830"/>
    <w:rsid w:val="00F04A40"/>
    <w:rsid w:val="00F06722"/>
    <w:rsid w:val="00F1119E"/>
    <w:rsid w:val="00F113D7"/>
    <w:rsid w:val="00F167C8"/>
    <w:rsid w:val="00F25C82"/>
    <w:rsid w:val="00F26554"/>
    <w:rsid w:val="00F3481E"/>
    <w:rsid w:val="00F36E34"/>
    <w:rsid w:val="00F426E9"/>
    <w:rsid w:val="00F534A9"/>
    <w:rsid w:val="00F56975"/>
    <w:rsid w:val="00F57437"/>
    <w:rsid w:val="00F579B5"/>
    <w:rsid w:val="00F73FBE"/>
    <w:rsid w:val="00F80AAC"/>
    <w:rsid w:val="00F84F9E"/>
    <w:rsid w:val="00F9103D"/>
    <w:rsid w:val="00FB03B8"/>
    <w:rsid w:val="00FB607B"/>
    <w:rsid w:val="00FC1558"/>
    <w:rsid w:val="00FD3042"/>
    <w:rsid w:val="00FD3AB4"/>
    <w:rsid w:val="00FD48A3"/>
    <w:rsid w:val="00FF034A"/>
    <w:rsid w:val="00FF0AE3"/>
    <w:rsid w:val="00FF1184"/>
    <w:rsid w:val="00FF4842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C8D7"/>
  <w15:docId w15:val="{405F6316-3775-4118-8913-F7A7F52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2B94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2B94"/>
    <w:pPr>
      <w:keepNext/>
      <w:numPr>
        <w:ilvl w:val="1"/>
        <w:numId w:val="4"/>
      </w:numPr>
      <w:spacing w:after="0" w:line="240" w:lineRule="auto"/>
      <w:outlineLvl w:val="1"/>
    </w:pPr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2B94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B94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2B94"/>
    <w:pPr>
      <w:keepNext/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2B94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B94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62B94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62B94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B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62B94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2B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62B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62B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62B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2B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62B94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62B94"/>
  </w:style>
  <w:style w:type="paragraph" w:styleId="Nagwek">
    <w:name w:val="header"/>
    <w:basedOn w:val="Normalny"/>
    <w:link w:val="NagwekZnak"/>
    <w:semiHidden/>
    <w:rsid w:val="00862B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62B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2B94"/>
    <w:pPr>
      <w:spacing w:before="240"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2B94"/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2B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62B9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2B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2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62B94"/>
    <w:pPr>
      <w:spacing w:before="24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2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2B94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2B9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2B9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62B94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rsid w:val="00862B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2B9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62B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862B94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semiHidden/>
    <w:rsid w:val="00862B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862B9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862B9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862B9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semiHidden/>
    <w:rsid w:val="00862B9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rsid w:val="00862B9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semiHidden/>
    <w:rsid w:val="00862B9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autoRedefine/>
    <w:semiHidden/>
    <w:rsid w:val="00862B9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862B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862B94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862B94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4">
    <w:name w:val="List Continue 4"/>
    <w:basedOn w:val="Normalny"/>
    <w:semiHidden/>
    <w:rsid w:val="00862B94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862B9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hortReturnAddress">
    <w:name w:val="Short Return Address"/>
    <w:basedOn w:val="Normalny"/>
    <w:rsid w:val="008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pis">
    <w:name w:val="Signature"/>
    <w:basedOn w:val="Normalny"/>
    <w:link w:val="PodpisZnak"/>
    <w:semiHidden/>
    <w:rsid w:val="00862B94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PLine">
    <w:name w:val="PP Line"/>
    <w:basedOn w:val="Podpis"/>
    <w:rsid w:val="00862B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862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2B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1">
    <w:name w:val="Styl1"/>
    <w:basedOn w:val="Normalny"/>
    <w:rsid w:val="00862B94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62B94"/>
  </w:style>
  <w:style w:type="character" w:styleId="Hipercze">
    <w:name w:val="Hyperlink"/>
    <w:semiHidden/>
    <w:rsid w:val="00862B94"/>
    <w:rPr>
      <w:color w:val="0000FF"/>
      <w:u w:val="single"/>
    </w:rPr>
  </w:style>
  <w:style w:type="character" w:styleId="UyteHipercze">
    <w:name w:val="FollowedHyperlink"/>
    <w:semiHidden/>
    <w:rsid w:val="00862B94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2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rsid w:val="0086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62B94"/>
    <w:rPr>
      <w:rFonts w:ascii="Courier New" w:eastAsia="Courier New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62B94"/>
    <w:pPr>
      <w:spacing w:before="240" w:after="0" w:line="240" w:lineRule="auto"/>
      <w:jc w:val="center"/>
    </w:pPr>
    <w:rPr>
      <w:rFonts w:ascii="Verdana" w:eastAsia="Times New Roman" w:hAnsi="Verdana" w:cs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62B94"/>
    <w:rPr>
      <w:rFonts w:ascii="Verdana" w:eastAsia="Times New Roman" w:hAnsi="Verdana" w:cs="Arial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2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2B9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2B9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</w:rPr>
  </w:style>
  <w:style w:type="character" w:styleId="Odwoaniedokomentarza">
    <w:name w:val="annotation reference"/>
    <w:uiPriority w:val="99"/>
    <w:semiHidden/>
    <w:unhideWhenUsed/>
    <w:rsid w:val="00862B94"/>
    <w:rPr>
      <w:sz w:val="16"/>
      <w:szCs w:val="16"/>
    </w:rPr>
  </w:style>
  <w:style w:type="paragraph" w:styleId="Poprawka">
    <w:name w:val="Revision"/>
    <w:hidden/>
    <w:uiPriority w:val="99"/>
    <w:semiHidden/>
    <w:rsid w:val="00862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62B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62B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5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</dc:creator>
  <cp:lastModifiedBy>Anna Biała</cp:lastModifiedBy>
  <cp:revision>126</cp:revision>
  <dcterms:created xsi:type="dcterms:W3CDTF">2022-11-02T13:04:00Z</dcterms:created>
  <dcterms:modified xsi:type="dcterms:W3CDTF">2023-08-04T06:54:00Z</dcterms:modified>
</cp:coreProperties>
</file>