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5F1E9C" w:rsidRDefault="00C82983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75296641" r:id="rId9"/>
        </w:object>
      </w:r>
      <w:r w:rsidR="00743A14" w:rsidRPr="005F1E9C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5F1E9C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5F1E9C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5F1E9C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5F1E9C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5F1E9C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F1E9C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5F1E9C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F1E9C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5F1E9C" w:rsidRDefault="00C82983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5F1E9C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0FED02EB" w14:textId="77777777" w:rsidR="003F4E44" w:rsidRDefault="003F4E44" w:rsidP="003F4E44">
      <w:pPr>
        <w:jc w:val="center"/>
        <w:rPr>
          <w:b/>
          <w:sz w:val="22"/>
          <w:szCs w:val="22"/>
          <w:u w:val="single"/>
        </w:rPr>
      </w:pPr>
    </w:p>
    <w:p w14:paraId="32DF0DF8" w14:textId="6703980C" w:rsidR="003A5619" w:rsidRDefault="00293656" w:rsidP="003F4E44">
      <w:pPr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08D00BA7" w14:textId="77777777" w:rsidR="00293656" w:rsidRPr="00293656" w:rsidRDefault="00293656" w:rsidP="003F4E44">
      <w:pPr>
        <w:spacing w:after="24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338B6A83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5F1E9C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</w:t>
      </w:r>
      <w:r w:rsidR="00E5724D">
        <w:rPr>
          <w:sz w:val="22"/>
          <w:szCs w:val="22"/>
        </w:rPr>
        <w:t>1605</w:t>
      </w:r>
      <w:r w:rsidR="00191D7A">
        <w:rPr>
          <w:sz w:val="22"/>
          <w:szCs w:val="22"/>
        </w:rPr>
        <w:t xml:space="preserve">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5A8D148A" w:rsidR="00293656" w:rsidRPr="00293656" w:rsidRDefault="00293656" w:rsidP="006314AB">
      <w:pPr>
        <w:spacing w:before="120" w:after="120" w:line="276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6314AB" w:rsidRPr="00D67D1F">
        <w:rPr>
          <w:b/>
          <w:sz w:val="22"/>
          <w:szCs w:val="22"/>
        </w:rPr>
        <w:t xml:space="preserve">„Dostawa </w:t>
      </w:r>
      <w:r w:rsidR="00191D7A">
        <w:rPr>
          <w:b/>
          <w:sz w:val="22"/>
          <w:szCs w:val="22"/>
        </w:rPr>
        <w:t>aparatury badawczej</w:t>
      </w:r>
      <w:r w:rsidR="001C6C1D">
        <w:rPr>
          <w:b/>
          <w:sz w:val="22"/>
          <w:szCs w:val="22"/>
        </w:rPr>
        <w:t>-czytnik OSL</w:t>
      </w:r>
      <w:r w:rsidR="006314AB" w:rsidRPr="00D67D1F">
        <w:rPr>
          <w:b/>
          <w:sz w:val="22"/>
          <w:szCs w:val="22"/>
        </w:rPr>
        <w:t>”</w:t>
      </w:r>
      <w:r w:rsidR="003A4779" w:rsidRPr="005F1E9C">
        <w:rPr>
          <w:bCs/>
          <w:i/>
          <w:sz w:val="22"/>
          <w:szCs w:val="22"/>
        </w:rPr>
        <w:t>,</w:t>
      </w:r>
      <w:r w:rsidR="003A4779">
        <w:rPr>
          <w:b/>
          <w:bCs/>
          <w:i/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 oświadczam, co następuje:</w:t>
      </w:r>
    </w:p>
    <w:p w14:paraId="21F8F287" w14:textId="77777777" w:rsidR="00BD4D57" w:rsidRDefault="00BD4D57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5A0236B0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r w:rsidR="00293656" w:rsidRPr="00FF71EB">
        <w:rPr>
          <w:sz w:val="22"/>
        </w:rPr>
        <w:t xml:space="preserve">świadczam/my,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>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5795FB1E" w:rsid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2FCF9A19" w14:textId="4A576FA6" w:rsidR="003A5619" w:rsidRDefault="003A5619" w:rsidP="00293656">
      <w:pPr>
        <w:spacing w:line="276" w:lineRule="auto"/>
        <w:jc w:val="both"/>
        <w:rPr>
          <w:sz w:val="22"/>
          <w:szCs w:val="22"/>
        </w:rPr>
      </w:pP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CD47F6D" w14:textId="77777777" w:rsidR="00A401DF" w:rsidRDefault="00A401DF" w:rsidP="00293656">
      <w:pPr>
        <w:spacing w:after="240"/>
        <w:jc w:val="both"/>
        <w:rPr>
          <w:b/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podwykonawcą/ami: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E364830" w14:textId="77777777" w:rsidR="003F4E44" w:rsidRDefault="003F4E44" w:rsidP="00293656">
      <w:pPr>
        <w:spacing w:after="240"/>
        <w:jc w:val="both"/>
        <w:rPr>
          <w:b/>
          <w:sz w:val="22"/>
          <w:szCs w:val="22"/>
        </w:rPr>
      </w:pPr>
    </w:p>
    <w:p w14:paraId="7F68272F" w14:textId="4FE13836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C26A800" w14:textId="77777777" w:rsidR="006314AB" w:rsidRDefault="006314AB" w:rsidP="00293656">
      <w:pPr>
        <w:spacing w:before="240" w:after="120"/>
        <w:jc w:val="center"/>
        <w:rPr>
          <w:b/>
          <w:sz w:val="22"/>
          <w:szCs w:val="22"/>
          <w:u w:val="single"/>
        </w:rPr>
      </w:pPr>
    </w:p>
    <w:p w14:paraId="53E67E0B" w14:textId="00B18274" w:rsidR="00743A14" w:rsidRPr="003A5619" w:rsidRDefault="00743A14" w:rsidP="00235671">
      <w:pPr>
        <w:suppressAutoHyphens w:val="0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31A1F9FC" w14:textId="77777777" w:rsidR="00A401DF" w:rsidRDefault="00A401DF">
      <w:pPr>
        <w:suppressAutoHyphens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14:paraId="0E435077" w14:textId="3AE300C9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C82983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1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75296642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C82983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1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2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2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3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3"/>
    </w:p>
    <w:p w14:paraId="694A99BF" w14:textId="5E2F6D86" w:rsidR="006314AB" w:rsidRPr="00293656" w:rsidRDefault="006314AB" w:rsidP="003F4E44">
      <w:pPr>
        <w:spacing w:before="120" w:after="120" w:line="276" w:lineRule="auto"/>
        <w:jc w:val="center"/>
        <w:rPr>
          <w:b/>
          <w:sz w:val="22"/>
          <w:szCs w:val="22"/>
        </w:rPr>
      </w:pPr>
      <w:r w:rsidRPr="00D67D1F">
        <w:rPr>
          <w:b/>
          <w:sz w:val="22"/>
          <w:szCs w:val="22"/>
        </w:rPr>
        <w:t xml:space="preserve">„Dostawa </w:t>
      </w:r>
      <w:r w:rsidR="00191D7A">
        <w:rPr>
          <w:b/>
          <w:sz w:val="22"/>
          <w:szCs w:val="22"/>
        </w:rPr>
        <w:t>aparatury badawczej</w:t>
      </w:r>
      <w:r w:rsidR="001C6C1D">
        <w:rPr>
          <w:b/>
          <w:sz w:val="22"/>
          <w:szCs w:val="22"/>
        </w:rPr>
        <w:t xml:space="preserve"> – czytnik OSL</w:t>
      </w:r>
      <w:r>
        <w:rPr>
          <w:b/>
          <w:sz w:val="22"/>
          <w:szCs w:val="22"/>
        </w:rPr>
        <w:t>”</w:t>
      </w:r>
    </w:p>
    <w:p w14:paraId="064F7D1C" w14:textId="77777777" w:rsidR="003F4E44" w:rsidRDefault="003F4E44" w:rsidP="00743A14">
      <w:pPr>
        <w:spacing w:line="276" w:lineRule="auto"/>
        <w:rPr>
          <w:sz w:val="22"/>
          <w:szCs w:val="22"/>
        </w:rPr>
      </w:pPr>
    </w:p>
    <w:p w14:paraId="2CA20541" w14:textId="51B4207F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4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4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7C6864CB" w:rsidR="00F44762" w:rsidRPr="003A4779" w:rsidRDefault="00743A14" w:rsidP="0023567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6314AB">
      <w:footerReference w:type="default" r:id="rId13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C05E" w14:textId="77777777" w:rsidR="00C82983" w:rsidRDefault="00C82983">
      <w:r>
        <w:separator/>
      </w:r>
    </w:p>
  </w:endnote>
  <w:endnote w:type="continuationSeparator" w:id="0">
    <w:p w14:paraId="37139662" w14:textId="77777777" w:rsidR="00C82983" w:rsidRDefault="00C8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="00E5724D" w:rsidRPr="00E5724D">
          <w:rPr>
            <w:rFonts w:eastAsiaTheme="majorEastAsia"/>
            <w:noProof/>
            <w:sz w:val="20"/>
            <w:szCs w:val="20"/>
            <w:lang w:val="pl-PL"/>
          </w:rPr>
          <w:t>8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6CF2" w14:textId="77777777" w:rsidR="00C82983" w:rsidRDefault="00C82983">
      <w:r>
        <w:separator/>
      </w:r>
    </w:p>
  </w:footnote>
  <w:footnote w:type="continuationSeparator" w:id="0">
    <w:p w14:paraId="1D2DD6B9" w14:textId="77777777" w:rsidR="00C82983" w:rsidRDefault="00C82983">
      <w:r>
        <w:continuationSeparator/>
      </w:r>
    </w:p>
  </w:footnote>
  <w:footnote w:id="1">
    <w:p w14:paraId="5CDCE7B6" w14:textId="77777777" w:rsidR="003A5619" w:rsidRDefault="003A5619" w:rsidP="003A5619">
      <w:pPr>
        <w:suppressAutoHyphens w:val="0"/>
        <w:spacing w:beforeLines="60" w:before="144" w:afterLines="60" w:after="144"/>
        <w:jc w:val="both"/>
        <w:rPr>
          <w:rFonts w:asciiTheme="minorHAnsi" w:hAnsiTheme="minorHAnsi" w:cstheme="minorHAnsi"/>
          <w:sz w:val="16"/>
          <w:szCs w:val="16"/>
        </w:rPr>
      </w:pPr>
    </w:p>
    <w:p w14:paraId="484E90AA" w14:textId="0910997C" w:rsidR="003A5619" w:rsidRPr="00191D7A" w:rsidRDefault="003A5619" w:rsidP="00A401DF">
      <w:pPr>
        <w:suppressAutoHyphens w:val="0"/>
        <w:spacing w:beforeLines="60" w:before="144" w:afterLines="60" w:after="144"/>
        <w:jc w:val="both"/>
        <w:rPr>
          <w:sz w:val="16"/>
          <w:szCs w:val="16"/>
        </w:rPr>
      </w:pPr>
      <w:r w:rsidRPr="00191D7A">
        <w:rPr>
          <w:rStyle w:val="Odwoanieprzypisudolnego"/>
          <w:sz w:val="16"/>
          <w:szCs w:val="16"/>
        </w:rPr>
        <w:footnoteRef/>
      </w:r>
      <w:r w:rsidRPr="00191D7A">
        <w:rPr>
          <w:sz w:val="16"/>
          <w:szCs w:val="16"/>
        </w:rPr>
        <w:t xml:space="preserve"> Zgodnie z treścią art. 7 ust. 1 pkt. 1-3 zgodnie z ustawą o szczególnych rozwiązaniach w zakresie przeciwdziałania wspieraniu agresji na Ukrainę oraz służących ochronie bezpieczeństwa narodowego z dnia 13 kwietnia 2022r. (Dz. U. z 2022, poz. 835) tj.:</w:t>
      </w:r>
    </w:p>
    <w:p w14:paraId="03AB0AE9" w14:textId="67750FB6" w:rsidR="005F1E9C" w:rsidRPr="00191D7A" w:rsidRDefault="005F1E9C" w:rsidP="00A401DF">
      <w:pPr>
        <w:suppressAutoHyphens w:val="0"/>
        <w:spacing w:beforeLines="60" w:before="144" w:afterLines="60" w:after="144"/>
        <w:jc w:val="both"/>
        <w:rPr>
          <w:sz w:val="16"/>
          <w:szCs w:val="16"/>
        </w:rPr>
      </w:pPr>
      <w:r w:rsidRPr="00191D7A">
        <w:rPr>
          <w:sz w:val="16"/>
          <w:szCs w:val="16"/>
        </w:rP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  <w:r w:rsidRPr="00191D7A">
        <w:rPr>
          <w:sz w:val="16"/>
          <w:szCs w:val="16"/>
        </w:rPr>
        <w:br/>
        <w:t xml:space="preserve">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  <w:r w:rsidRPr="00191D7A">
        <w:rPr>
          <w:sz w:val="16"/>
          <w:szCs w:val="16"/>
        </w:rPr>
        <w:br/>
        <w:t>3.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5 oraz art. 5k Rozporządzenia 2022/576 do rozporządzenia Rady (UE) nr 833/2014 z dnia 31 lipca 2014 r. dotyczącego środków ograniczających w związku z działaniami Rosji destabilizującymi sytuację na Ukrainie (Dz. Urz. UE nr L 229 z 31.7.2014, str. 1) w następującym brzmieniu: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3CE3E52" w14:textId="77777777" w:rsidR="005F1E9C" w:rsidRPr="00191D7A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sz w:val="16"/>
          <w:szCs w:val="16"/>
        </w:rPr>
      </w:pPr>
      <w:r w:rsidRPr="00191D7A">
        <w:rPr>
          <w:sz w:val="16"/>
          <w:szCs w:val="16"/>
        </w:rPr>
        <w:t>obywateli rosyjskich lub osób fizycznych lub prawnych, podmiotów lub organów z siedzibą w Rosji;</w:t>
      </w:r>
    </w:p>
    <w:p w14:paraId="2A39BA0A" w14:textId="77777777" w:rsidR="005F1E9C" w:rsidRPr="00191D7A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sz w:val="16"/>
          <w:szCs w:val="16"/>
        </w:rPr>
      </w:pPr>
      <w:r w:rsidRPr="00191D7A">
        <w:rPr>
          <w:sz w:val="16"/>
          <w:szCs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3A2DAD7" w14:textId="77777777" w:rsidR="005F1E9C" w:rsidRPr="00191D7A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sz w:val="16"/>
          <w:szCs w:val="16"/>
        </w:rPr>
      </w:pPr>
      <w:r w:rsidRPr="00191D7A">
        <w:rPr>
          <w:sz w:val="16"/>
          <w:szCs w:val="16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09B1142B" w14:textId="19B22F58" w:rsidR="005F1E9C" w:rsidRDefault="005F1E9C" w:rsidP="005F1E9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75C6936"/>
    <w:multiLevelType w:val="hybridMultilevel"/>
    <w:tmpl w:val="3A5AFD42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cs="Times New Roman"/>
      </w:rPr>
    </w:lvl>
    <w:lvl w:ilvl="1" w:tplc="723CCB7A">
      <w:start w:val="1"/>
      <w:numFmt w:val="lowerLetter"/>
      <w:lvlText w:val="%2."/>
      <w:lvlJc w:val="left"/>
      <w:pPr>
        <w:ind w:left="263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42103"/>
    <w:multiLevelType w:val="hybridMultilevel"/>
    <w:tmpl w:val="FC0E39C0"/>
    <w:lvl w:ilvl="0" w:tplc="F5E031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2183B"/>
    <w:multiLevelType w:val="hybridMultilevel"/>
    <w:tmpl w:val="D35AD810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721C2552">
      <w:start w:val="1"/>
      <w:numFmt w:val="decimal"/>
      <w:lvlText w:val="%3)"/>
      <w:lvlJc w:val="left"/>
      <w:pPr>
        <w:ind w:left="2648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59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6"/>
  </w:num>
  <w:num w:numId="5">
    <w:abstractNumId w:val="33"/>
  </w:num>
  <w:num w:numId="6">
    <w:abstractNumId w:val="60"/>
  </w:num>
  <w:num w:numId="7">
    <w:abstractNumId w:val="49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0"/>
  </w:num>
  <w:num w:numId="13">
    <w:abstractNumId w:val="52"/>
  </w:num>
  <w:num w:numId="14">
    <w:abstractNumId w:val="57"/>
  </w:num>
  <w:num w:numId="15">
    <w:abstractNumId w:val="42"/>
  </w:num>
  <w:num w:numId="16">
    <w:abstractNumId w:val="34"/>
  </w:num>
  <w:num w:numId="17">
    <w:abstractNumId w:val="55"/>
  </w:num>
  <w:num w:numId="18">
    <w:abstractNumId w:val="44"/>
  </w:num>
  <w:num w:numId="19">
    <w:abstractNumId w:val="48"/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D7A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50B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6C1D"/>
    <w:rsid w:val="001C7BDE"/>
    <w:rsid w:val="001D10EC"/>
    <w:rsid w:val="001D1A89"/>
    <w:rsid w:val="001D1AF4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6DD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5671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0BF5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61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4E44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144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0E80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1E9C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1CE"/>
    <w:rsid w:val="005F673C"/>
    <w:rsid w:val="005F6A69"/>
    <w:rsid w:val="005F6B89"/>
    <w:rsid w:val="005F6CA3"/>
    <w:rsid w:val="005F7864"/>
    <w:rsid w:val="0060083F"/>
    <w:rsid w:val="00600C00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4AB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3BA8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84D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2CC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3D2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9D6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1DF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D57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5ECA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5DC4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2983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0665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24D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2ED8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B5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A3AB-F9D5-413E-BB13-5A53B89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</cp:revision>
  <cp:lastPrinted>2024-02-15T09:03:00Z</cp:lastPrinted>
  <dcterms:created xsi:type="dcterms:W3CDTF">2024-02-15T09:06:00Z</dcterms:created>
  <dcterms:modified xsi:type="dcterms:W3CDTF">2024-04-22T11:11:00Z</dcterms:modified>
</cp:coreProperties>
</file>