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1F03D" w14:textId="44C55AD2" w:rsidR="00561958" w:rsidRPr="00561958" w:rsidRDefault="00561958" w:rsidP="00561958">
      <w:pPr>
        <w:rPr>
          <w:rFonts w:ascii="Tahoma" w:eastAsia="Tahoma" w:hAnsi="Tahoma" w:cs="Tahoma"/>
          <w:sz w:val="20"/>
          <w:szCs w:val="20"/>
        </w:rPr>
      </w:pPr>
      <w:r w:rsidRPr="004D6261">
        <w:rPr>
          <w:rFonts w:ascii="Tahoma" w:hAnsi="Tahoma" w:cs="Tahoma"/>
          <w:b/>
          <w:bCs/>
          <w:sz w:val="20"/>
          <w:szCs w:val="20"/>
        </w:rPr>
        <w:t>Nr sprawy: ZP/</w:t>
      </w:r>
      <w:r>
        <w:rPr>
          <w:rFonts w:ascii="Tahoma" w:hAnsi="Tahoma" w:cs="Tahoma"/>
          <w:b/>
          <w:bCs/>
          <w:sz w:val="20"/>
          <w:szCs w:val="20"/>
        </w:rPr>
        <w:t>5</w:t>
      </w:r>
      <w:r w:rsidRPr="004D6261">
        <w:rPr>
          <w:rFonts w:ascii="Tahoma" w:hAnsi="Tahoma" w:cs="Tahoma"/>
          <w:b/>
          <w:bCs/>
          <w:sz w:val="20"/>
          <w:szCs w:val="20"/>
        </w:rPr>
        <w:t>/202</w:t>
      </w:r>
      <w:r>
        <w:rPr>
          <w:rFonts w:ascii="Tahoma" w:hAnsi="Tahoma" w:cs="Tahoma"/>
          <w:b/>
          <w:bCs/>
          <w:sz w:val="20"/>
          <w:szCs w:val="20"/>
        </w:rPr>
        <w:t>1</w:t>
      </w:r>
      <w:r w:rsidRPr="004D6261">
        <w:rPr>
          <w:rFonts w:ascii="Tahoma" w:hAnsi="Tahoma" w:cs="Tahoma"/>
          <w:b/>
          <w:bCs/>
          <w:sz w:val="20"/>
          <w:szCs w:val="20"/>
        </w:rPr>
        <w:t xml:space="preserve">                                                                 </w:t>
      </w:r>
      <w:proofErr w:type="spellStart"/>
      <w:r w:rsidRPr="004D6261">
        <w:rPr>
          <w:rFonts w:ascii="Tahoma" w:hAnsi="Tahoma" w:cs="Tahoma"/>
          <w:b/>
          <w:bCs/>
          <w:sz w:val="20"/>
          <w:szCs w:val="20"/>
        </w:rPr>
        <w:t>Wz</w:t>
      </w:r>
      <w:proofErr w:type="spellEnd"/>
      <w:r w:rsidRPr="004D6261">
        <w:rPr>
          <w:rFonts w:ascii="Tahoma" w:hAnsi="Tahoma" w:cs="Tahoma"/>
          <w:b/>
          <w:bCs/>
          <w:sz w:val="20"/>
          <w:szCs w:val="20"/>
          <w:lang w:val="es-ES_tradnl"/>
        </w:rPr>
        <w:t>ó</w:t>
      </w:r>
      <w:r w:rsidRPr="004D6261">
        <w:rPr>
          <w:rFonts w:ascii="Tahoma" w:hAnsi="Tahoma" w:cs="Tahoma"/>
          <w:b/>
          <w:bCs/>
          <w:sz w:val="20"/>
          <w:szCs w:val="20"/>
        </w:rPr>
        <w:t xml:space="preserve">r umowy - Załącznik </w:t>
      </w:r>
      <w:r>
        <w:rPr>
          <w:rFonts w:ascii="Tahoma" w:hAnsi="Tahoma" w:cs="Tahoma"/>
          <w:b/>
          <w:bCs/>
          <w:sz w:val="20"/>
          <w:szCs w:val="20"/>
        </w:rPr>
        <w:t>8</w:t>
      </w:r>
    </w:p>
    <w:p w14:paraId="0C939214" w14:textId="2FC4D9EC" w:rsidR="00561958" w:rsidRDefault="00561958" w:rsidP="003D0CDA">
      <w:pPr>
        <w:ind w:left="426" w:hanging="432"/>
        <w:jc w:val="both"/>
      </w:pPr>
    </w:p>
    <w:p w14:paraId="2DE9120B" w14:textId="61660BA2" w:rsidR="00561958" w:rsidRPr="00561958" w:rsidRDefault="00561958" w:rsidP="00561958">
      <w:pPr>
        <w:ind w:left="426" w:hanging="432"/>
        <w:jc w:val="center"/>
        <w:rPr>
          <w:rFonts w:cstheme="minorHAnsi"/>
          <w:b/>
          <w:bCs/>
          <w:sz w:val="28"/>
          <w:szCs w:val="28"/>
        </w:rPr>
      </w:pPr>
      <w:r w:rsidRPr="00561958">
        <w:rPr>
          <w:rFonts w:cstheme="minorHAnsi"/>
          <w:b/>
          <w:bCs/>
          <w:sz w:val="24"/>
          <w:szCs w:val="24"/>
        </w:rPr>
        <w:t>Zasady realizacji gwarancji</w:t>
      </w:r>
    </w:p>
    <w:p w14:paraId="0512C8AE" w14:textId="77777777" w:rsidR="003D0CDA" w:rsidRPr="00387F54" w:rsidRDefault="003D0CDA" w:rsidP="003D0CDA">
      <w:pPr>
        <w:pStyle w:val="Akapitzlist"/>
        <w:numPr>
          <w:ilvl w:val="1"/>
          <w:numId w:val="1"/>
        </w:numPr>
        <w:ind w:left="426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 xml:space="preserve">W ramach gwarancji Wykonawca ma obowiązek usuwania wszystkich błędów i usterek w całym przedmiocie zamówienia i jego poszczególnych elementach składowych oraz aktualizacji dokumentacji o dokonane poprawki. W przypadku wątpliwości co do sposobu działania aplikacji ma obowiązek udzielić odpowiedzi na zgłoszenia o typie </w:t>
      </w:r>
      <w:proofErr w:type="spellStart"/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Task</w:t>
      </w:r>
      <w:proofErr w:type="spellEnd"/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14:paraId="3CA96339" w14:textId="77777777" w:rsidR="003D0CDA" w:rsidRPr="00387F54" w:rsidRDefault="003D0CDA" w:rsidP="003D0CDA">
      <w:pPr>
        <w:pStyle w:val="Akapitzlist"/>
        <w:numPr>
          <w:ilvl w:val="1"/>
          <w:numId w:val="1"/>
        </w:numPr>
        <w:ind w:left="426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 xml:space="preserve">Wykonawca jest zobowiązany do świadczenia Gwarancji powdrożeniowej od dnia podpisania </w:t>
      </w:r>
      <w:r w:rsidR="00D301AC">
        <w:rPr>
          <w:rFonts w:asciiTheme="minorHAnsi" w:eastAsia="Times New Roman" w:hAnsiTheme="minorHAnsi"/>
          <w:sz w:val="24"/>
          <w:szCs w:val="24"/>
          <w:lang w:eastAsia="pl-PL"/>
        </w:rPr>
        <w:t xml:space="preserve">bezusterkowego </w:t>
      </w: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Protokołu odbioru końcowego Przedmiot</w:t>
      </w:r>
      <w:r w:rsidR="00D301AC">
        <w:rPr>
          <w:rFonts w:asciiTheme="minorHAnsi" w:eastAsia="Times New Roman" w:hAnsiTheme="minorHAnsi"/>
          <w:sz w:val="24"/>
          <w:szCs w:val="24"/>
          <w:lang w:eastAsia="pl-PL"/>
        </w:rPr>
        <w:t>u zamówienia, przez okres wynikający z podpisanej umowy.</w:t>
      </w:r>
    </w:p>
    <w:p w14:paraId="49505B65" w14:textId="77777777" w:rsidR="003D0CDA" w:rsidRPr="00387F54" w:rsidRDefault="003D0CDA" w:rsidP="003D0CDA">
      <w:pPr>
        <w:pStyle w:val="Akapitzlist"/>
        <w:numPr>
          <w:ilvl w:val="1"/>
          <w:numId w:val="1"/>
        </w:numPr>
        <w:ind w:left="426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Nie powoduje utraty gwarancji działanie Zamawiającego polegające na :</w:t>
      </w:r>
    </w:p>
    <w:p w14:paraId="2ACF1BCB" w14:textId="77777777" w:rsidR="003D0CDA" w:rsidRPr="00387F54" w:rsidRDefault="003D0CDA" w:rsidP="003D0CDA">
      <w:pPr>
        <w:pStyle w:val="Akapitzlist"/>
        <w:ind w:left="792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- wprowadzeniu zmiany w danych słownikowych w bazach bez dokonywania modyfikacji tabel i procedur</w:t>
      </w:r>
    </w:p>
    <w:p w14:paraId="6669F603" w14:textId="77777777" w:rsidR="003D0CDA" w:rsidRPr="00387F54" w:rsidRDefault="003D0CDA" w:rsidP="003D0CDA">
      <w:pPr>
        <w:pStyle w:val="Akapitzlist"/>
        <w:ind w:left="792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- wprowadzeniu zmiany nazwy grupy/teamu w roli procesowej, która była zdefiniowana poprzez zmapowanie wprost z określoną grupą w AD</w:t>
      </w:r>
    </w:p>
    <w:p w14:paraId="0A0FC4EF" w14:textId="77777777" w:rsidR="003D0CDA" w:rsidRPr="00387F54" w:rsidRDefault="003D0CDA" w:rsidP="003D0CDA">
      <w:pPr>
        <w:pStyle w:val="Akapitzlist"/>
        <w:ind w:left="792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- wprowadzeniu drobnej zmiany graficznej bez modyfikowania funkcjonalności formularza i modelu danych</w:t>
      </w:r>
    </w:p>
    <w:p w14:paraId="1A02B142" w14:textId="77777777" w:rsidR="003D0CDA" w:rsidRPr="00387F54" w:rsidRDefault="003D0CDA" w:rsidP="003D0CDA">
      <w:pPr>
        <w:pStyle w:val="Akapitzlist"/>
        <w:ind w:left="792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- wprowadzenie zmiany stałej treści formularzy, tj. nazwy kroku i procesu, treści nagłówków, treści komunikatów informacyjnych, walidacyjnych i podpowiedzi, stałej treści maili</w:t>
      </w:r>
    </w:p>
    <w:p w14:paraId="7456FFCC" w14:textId="77777777" w:rsidR="003A6A93" w:rsidRDefault="003D0CDA" w:rsidP="003D0CDA">
      <w:pPr>
        <w:pStyle w:val="Akapitzlist"/>
        <w:ind w:left="792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 xml:space="preserve">- wprowadzenie zmiany wartości czasu optymalnego/wymaganego dla danej czynności lub procesu </w:t>
      </w:r>
    </w:p>
    <w:p w14:paraId="48A0389C" w14:textId="77777777" w:rsidR="003A6A93" w:rsidRPr="003A6A93" w:rsidRDefault="003A6A93" w:rsidP="003A6A9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09"/>
        <w:jc w:val="both"/>
        <w:rPr>
          <w:rFonts w:eastAsia="Times New Roman" w:cs="Times New Roman"/>
          <w:sz w:val="24"/>
          <w:szCs w:val="24"/>
          <w:lang w:eastAsia="pl-PL"/>
        </w:rPr>
      </w:pPr>
      <w:r w:rsidRPr="003A6A93">
        <w:rPr>
          <w:rFonts w:eastAsia="Times New Roman" w:cs="Times New Roman"/>
          <w:sz w:val="24"/>
          <w:szCs w:val="24"/>
          <w:lang w:eastAsia="pl-PL"/>
        </w:rPr>
        <w:t>- wprowadzeniu innej, dowolnej modyfikacji, która, po wykonaniu i pozytywnych testach, zostanie zaudytowana i zaakceptowana przez udzielającego gwarancję.</w:t>
      </w:r>
    </w:p>
    <w:p w14:paraId="45A88A1E" w14:textId="77777777" w:rsidR="003D0CDA" w:rsidRPr="00387F54" w:rsidRDefault="003D0CDA" w:rsidP="003D0CDA">
      <w:pPr>
        <w:pStyle w:val="Akapitzlist"/>
        <w:ind w:left="792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ab/>
      </w:r>
    </w:p>
    <w:p w14:paraId="6DC78BBE" w14:textId="77777777" w:rsidR="003D0CDA" w:rsidRPr="00387F54" w:rsidRDefault="003D0CDA" w:rsidP="003D0CDA">
      <w:pPr>
        <w:pStyle w:val="Akapitzlist"/>
        <w:numPr>
          <w:ilvl w:val="1"/>
          <w:numId w:val="1"/>
        </w:numPr>
        <w:ind w:left="426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 xml:space="preserve">W razie stwierdzenia Błędu krytycznego, Błędu zwykłego lub Usterki, w tym szczególnego rodzaju błędu, jakim jest błąd architektoniczny, w aplikacjach procesowych Zamawiający powiadomi Wykonawcę przy wykorzystaniu systemu JIRA Software, który jest administrowany  i udostępniany przez Zamawiającego. W przypadku awarii uniemożliwiającej zarejestrowanie Zgłoszenia poprzez system JIRA Software, Zamawiający dokona zgłoszenia telefonicznie lub drogą mailową. </w:t>
      </w:r>
    </w:p>
    <w:p w14:paraId="1B48F8FA" w14:textId="77777777" w:rsidR="003D0CDA" w:rsidRPr="00387F54" w:rsidRDefault="003D0CDA" w:rsidP="003D0CDA">
      <w:pPr>
        <w:pStyle w:val="Akapitzlist"/>
        <w:numPr>
          <w:ilvl w:val="1"/>
          <w:numId w:val="1"/>
        </w:numPr>
        <w:ind w:left="426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W systemie JIRA można rejestrować zgłoszenia o typie:</w:t>
      </w:r>
    </w:p>
    <w:p w14:paraId="59845986" w14:textId="77777777" w:rsidR="003D0CDA" w:rsidRPr="00387F54" w:rsidRDefault="003D0CDA" w:rsidP="003D0CDA">
      <w:pPr>
        <w:pStyle w:val="Akapitzlist"/>
        <w:ind w:left="792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 xml:space="preserve">Błąd (Bug) – działanie systemu niezgodne z dokumentacją (w szczególności BWL i zgłoszenia w </w:t>
      </w:r>
      <w:proofErr w:type="spellStart"/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Jira</w:t>
      </w:r>
      <w:proofErr w:type="spellEnd"/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)</w:t>
      </w:r>
    </w:p>
    <w:p w14:paraId="456B4731" w14:textId="77777777" w:rsidR="003D0CDA" w:rsidRPr="00387F54" w:rsidRDefault="003D0CDA" w:rsidP="003D0CDA">
      <w:pPr>
        <w:pStyle w:val="Akapitzlist"/>
        <w:ind w:left="792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Zadanie (</w:t>
      </w:r>
      <w:proofErr w:type="spellStart"/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Task</w:t>
      </w:r>
      <w:proofErr w:type="spellEnd"/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) – zgłoszenie zagadnienia dotyczącego działania jednej z aplikacji procesowych z prośbą o wyjaśnienie sposobu działania</w:t>
      </w:r>
    </w:p>
    <w:p w14:paraId="3F96F0A7" w14:textId="77777777" w:rsidR="003D0CDA" w:rsidRPr="00387F54" w:rsidRDefault="003D0CDA" w:rsidP="003D0CDA">
      <w:pPr>
        <w:pStyle w:val="Akapitzlist"/>
        <w:ind w:left="792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 xml:space="preserve">Zmiana (New </w:t>
      </w:r>
      <w:proofErr w:type="spellStart"/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>Feature</w:t>
      </w:r>
      <w:proofErr w:type="spellEnd"/>
      <w:r w:rsidRPr="00387F54">
        <w:rPr>
          <w:rFonts w:asciiTheme="minorHAnsi" w:eastAsia="Times New Roman" w:hAnsiTheme="minorHAnsi"/>
          <w:sz w:val="24"/>
          <w:szCs w:val="24"/>
          <w:lang w:eastAsia="pl-PL"/>
        </w:rPr>
        <w:t xml:space="preserve">) – zgłoszenie pożądanej zmiany, modyfikacji w systemie, realizowane w ramach oddzielnego zamówienia. </w:t>
      </w:r>
    </w:p>
    <w:p w14:paraId="1C9B05F2" w14:textId="77777777" w:rsidR="003D0CDA" w:rsidRPr="00387F54" w:rsidRDefault="003D0CDA" w:rsidP="003D0CDA">
      <w:pPr>
        <w:pStyle w:val="Akapitzlist"/>
        <w:numPr>
          <w:ilvl w:val="1"/>
          <w:numId w:val="1"/>
        </w:numPr>
        <w:ind w:left="426"/>
        <w:jc w:val="both"/>
        <w:rPr>
          <w:rFonts w:asciiTheme="minorHAnsi" w:eastAsia="Times New Roman" w:hAnsiTheme="minorHAnsi"/>
          <w:sz w:val="24"/>
          <w:szCs w:val="24"/>
        </w:rPr>
      </w:pPr>
      <w:r w:rsidRPr="00387F54">
        <w:rPr>
          <w:rFonts w:asciiTheme="minorHAnsi" w:eastAsia="Times New Roman" w:hAnsiTheme="minorHAnsi"/>
          <w:sz w:val="24"/>
          <w:szCs w:val="24"/>
        </w:rPr>
        <w:t>W systemie JIRA można rejestrować zgłoszenia o priorytecie:</w:t>
      </w:r>
    </w:p>
    <w:p w14:paraId="023FCF23" w14:textId="77777777" w:rsidR="003D0CDA" w:rsidRPr="00387F54" w:rsidRDefault="003D0CDA" w:rsidP="003D0CDA">
      <w:pPr>
        <w:pStyle w:val="Akapitzlist"/>
        <w:numPr>
          <w:ilvl w:val="2"/>
          <w:numId w:val="1"/>
        </w:numPr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t>Blocker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(Błąd krytyczny) – błąd, który uniemożliwia użytkowanie AP w zakresie jej podstawowych funkcjonalności biznesowych, w szczególności oznacza </w:t>
      </w:r>
      <w:r w:rsidRPr="00387F54">
        <w:rPr>
          <w:rFonts w:asciiTheme="minorHAnsi" w:hAnsiTheme="minorHAnsi"/>
          <w:sz w:val="24"/>
          <w:szCs w:val="24"/>
        </w:rPr>
        <w:lastRenderedPageBreak/>
        <w:t>nieprawidłowe działanie oprogramowania, które prowadzi do zatrzymania jego eksploatacji, utraty danych lub naruszenie ich spójności, w wyniku którego niemożliwe jest prowadzenie działalności z użyciem oprogramowania np.: przepływ między jednym a drugim krokiem kończy się błędem a wznowienie procesu nie rozwiązuje problemu. Brak działania środowiska, bez obejścia.</w:t>
      </w:r>
    </w:p>
    <w:p w14:paraId="64FA2A5C" w14:textId="77777777" w:rsidR="003D0CDA" w:rsidRPr="00387F54" w:rsidRDefault="003D0CDA" w:rsidP="003D0CDA">
      <w:pPr>
        <w:pStyle w:val="Akapitzlist"/>
        <w:numPr>
          <w:ilvl w:val="2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387F54">
        <w:rPr>
          <w:rFonts w:asciiTheme="minorHAnsi" w:hAnsiTheme="minorHAnsi"/>
          <w:sz w:val="24"/>
          <w:szCs w:val="24"/>
        </w:rPr>
        <w:t>Critical (Błąd krytyczny) – błąd, który uniemożliwia użytkowanie AP w zakresie jej podstawowych funkcjonalności biznesowych, oznacza nieprawidłowe działanie oprogramowania, które nie prowadzi do zatrzymania jego eksploatacji bądź utraty danych np.: nie działa poboczny proces biznesowy lub jego część, nie uruchamiają się kolejne kroki; istnieje obejście.</w:t>
      </w:r>
    </w:p>
    <w:p w14:paraId="6C37F18D" w14:textId="77777777" w:rsidR="003D0CDA" w:rsidRPr="00387F54" w:rsidRDefault="003D0CDA" w:rsidP="003D0CDA">
      <w:pPr>
        <w:pStyle w:val="Akapitzlist"/>
        <w:numPr>
          <w:ilvl w:val="2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387F54">
        <w:rPr>
          <w:rFonts w:asciiTheme="minorHAnsi" w:hAnsiTheme="minorHAnsi"/>
          <w:sz w:val="24"/>
          <w:szCs w:val="24"/>
        </w:rPr>
        <w:t xml:space="preserve">Major (Błąd) – oznacza nieprawidłowe działalnie AP,  które powoduje ograniczenie w realizowaniu funkcjonalności biznesowych, ale nie naraża procesu na zatrzymanie lub przerwanie  oraz nie naraża danych w nim zawartych na ewentualne uszkodzenie lub utratę lub </w:t>
      </w:r>
      <w:proofErr w:type="spellStart"/>
      <w:r w:rsidRPr="00387F54">
        <w:rPr>
          <w:rFonts w:asciiTheme="minorHAnsi" w:hAnsiTheme="minorHAnsi"/>
          <w:sz w:val="24"/>
          <w:szCs w:val="24"/>
        </w:rPr>
        <w:t>Blocker</w:t>
      </w:r>
      <w:proofErr w:type="spellEnd"/>
      <w:r w:rsidRPr="00387F54">
        <w:rPr>
          <w:rFonts w:asciiTheme="minorHAnsi" w:hAnsiTheme="minorHAnsi"/>
          <w:sz w:val="24"/>
          <w:szCs w:val="24"/>
        </w:rPr>
        <w:t>, dla którego istnieje obejście (wówczas zmiana priorytetu następuje po zastosowaniu obejścia).</w:t>
      </w:r>
    </w:p>
    <w:p w14:paraId="393A8ECE" w14:textId="77777777" w:rsidR="003D0CDA" w:rsidRPr="00387F54" w:rsidRDefault="003D0CDA" w:rsidP="003D0CDA">
      <w:pPr>
        <w:pStyle w:val="Akapitzlist"/>
        <w:numPr>
          <w:ilvl w:val="2"/>
          <w:numId w:val="1"/>
        </w:numPr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t>Trivial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(Usterka) – oznacza działanie AP użytkowanej przez Zamawiającego, nie zakłócające rutynowych czynności pracy Użytkownika,  które nie wpływa w istotny  sposób na wyniki pracy np.: nie działa poboczna funkcjonalność biznesowa typu podpowiadanie, literówka, itp.</w:t>
      </w:r>
    </w:p>
    <w:p w14:paraId="168553EC" w14:textId="77777777" w:rsidR="003D0CDA" w:rsidRPr="00387F54" w:rsidRDefault="003D0CDA" w:rsidP="003D0CDA">
      <w:pPr>
        <w:pStyle w:val="Akapitzlist"/>
        <w:numPr>
          <w:ilvl w:val="1"/>
          <w:numId w:val="1"/>
        </w:numPr>
        <w:ind w:left="426"/>
        <w:jc w:val="both"/>
        <w:rPr>
          <w:rFonts w:asciiTheme="minorHAnsi" w:eastAsia="Times New Roman" w:hAnsiTheme="minorHAnsi"/>
          <w:sz w:val="24"/>
          <w:szCs w:val="24"/>
        </w:rPr>
      </w:pPr>
      <w:r w:rsidRPr="00387F54">
        <w:rPr>
          <w:rFonts w:asciiTheme="minorHAnsi" w:eastAsia="Times New Roman" w:hAnsiTheme="minorHAnsi"/>
          <w:sz w:val="24"/>
          <w:szCs w:val="24"/>
        </w:rPr>
        <w:t>Wykonawca przystąpi do usuwania zgłoszonych w opisany wyżej sposób błędów  uniemoż</w:t>
      </w:r>
      <w:r w:rsidR="00D301AC">
        <w:rPr>
          <w:rFonts w:asciiTheme="minorHAnsi" w:eastAsia="Times New Roman" w:hAnsiTheme="minorHAnsi"/>
          <w:sz w:val="24"/>
          <w:szCs w:val="24"/>
        </w:rPr>
        <w:t>liwiających jego eksploatację w dniu</w:t>
      </w:r>
      <w:r w:rsidRPr="00387F54">
        <w:rPr>
          <w:rFonts w:asciiTheme="minorHAnsi" w:eastAsia="Times New Roman" w:hAnsiTheme="minorHAnsi"/>
          <w:sz w:val="24"/>
          <w:szCs w:val="24"/>
        </w:rPr>
        <w:t xml:space="preserve"> otrzymaniu powiadomienia i zobowiązuje się do zakończenia dokonywanych poprawek: </w:t>
      </w:r>
    </w:p>
    <w:p w14:paraId="13F14B78" w14:textId="77777777" w:rsidR="003D0CDA" w:rsidRDefault="003D0CDA" w:rsidP="003D0CDA">
      <w:pPr>
        <w:ind w:left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387F54">
        <w:rPr>
          <w:rFonts w:eastAsia="Times New Roman" w:cs="Times New Roman"/>
          <w:sz w:val="24"/>
          <w:szCs w:val="24"/>
          <w:lang w:eastAsia="pl-PL"/>
        </w:rPr>
        <w:t>dla Błędów Krytycznych w terminie maksymalnie do 2 Dni, dla innych Błędów – do 5 Dni</w:t>
      </w:r>
      <w:r>
        <w:rPr>
          <w:rFonts w:eastAsia="Times New Roman" w:cs="Times New Roman"/>
          <w:sz w:val="24"/>
          <w:szCs w:val="24"/>
          <w:lang w:eastAsia="pl-PL"/>
        </w:rPr>
        <w:t>,   d</w:t>
      </w:r>
      <w:r w:rsidRPr="00387F54">
        <w:rPr>
          <w:rFonts w:eastAsia="Times New Roman" w:cs="Times New Roman"/>
          <w:sz w:val="24"/>
          <w:szCs w:val="24"/>
          <w:lang w:eastAsia="pl-PL"/>
        </w:rPr>
        <w:t>la Usterek – w terminie do 8 Dni</w:t>
      </w:r>
      <w:r>
        <w:rPr>
          <w:rFonts w:eastAsia="Times New Roman" w:cs="Times New Roman"/>
          <w:sz w:val="24"/>
          <w:szCs w:val="24"/>
          <w:lang w:eastAsia="pl-PL"/>
        </w:rPr>
        <w:t>,</w:t>
      </w:r>
      <w:r w:rsidRPr="00387F54">
        <w:rPr>
          <w:rFonts w:eastAsia="Times New Roman" w:cs="Times New Roman"/>
          <w:sz w:val="24"/>
          <w:szCs w:val="24"/>
          <w:lang w:eastAsia="pl-PL"/>
        </w:rPr>
        <w:t xml:space="preserve"> licząc od dnia zarejestrowania zgłoszenia w systemie.</w:t>
      </w:r>
    </w:p>
    <w:p w14:paraId="2AE9000E" w14:textId="77777777" w:rsidR="003D0CDA" w:rsidRPr="00763C2C" w:rsidRDefault="003D0CDA" w:rsidP="003D0CDA">
      <w:pPr>
        <w:ind w:left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387F54">
        <w:rPr>
          <w:rFonts w:eastAsia="Times New Roman" w:cs="Times New Roman"/>
          <w:sz w:val="24"/>
          <w:szCs w:val="24"/>
        </w:rPr>
        <w:t>Jeśli usunięcie błędu w tym terminie okaże się niemożliwe z przyczyn technicznych zostanie zastosowane niezwłocznie rozwiązanie zastępcze dostarczone lub rekomendowane przez Wykonawcę</w:t>
      </w:r>
      <w:r>
        <w:rPr>
          <w:rFonts w:eastAsia="Times New Roman" w:cs="Times New Roman"/>
          <w:sz w:val="24"/>
          <w:szCs w:val="24"/>
        </w:rPr>
        <w:t>, tzw. obejście</w:t>
      </w:r>
      <w:r w:rsidRPr="00387F54">
        <w:rPr>
          <w:rFonts w:eastAsia="Times New Roman" w:cs="Times New Roman"/>
          <w:sz w:val="24"/>
          <w:szCs w:val="24"/>
        </w:rPr>
        <w:t>, a błąd usuwany będzie aż do skutku. Przez rozwiązanie zastępcze Zamawiający rozumie modyfikację aplikacji, która umożliwia działanie procesu bez występowania błędu krytycznego, ale może być niezgodna z dokumentacją.</w:t>
      </w:r>
    </w:p>
    <w:p w14:paraId="47B3DB2C" w14:textId="77777777" w:rsidR="003D0CDA" w:rsidRPr="00387F54" w:rsidRDefault="003D0CDA" w:rsidP="003D0CDA">
      <w:pPr>
        <w:pStyle w:val="Akapitzlist"/>
        <w:numPr>
          <w:ilvl w:val="1"/>
          <w:numId w:val="1"/>
        </w:numPr>
        <w:ind w:left="426"/>
        <w:jc w:val="both"/>
        <w:rPr>
          <w:rFonts w:asciiTheme="minorHAnsi" w:eastAsia="Times New Roman" w:hAnsiTheme="minorHAnsi"/>
          <w:sz w:val="24"/>
          <w:szCs w:val="24"/>
        </w:rPr>
      </w:pPr>
      <w:r w:rsidRPr="00387F54">
        <w:rPr>
          <w:rFonts w:asciiTheme="minorHAnsi" w:eastAsia="Times New Roman" w:hAnsiTheme="minorHAnsi"/>
          <w:sz w:val="24"/>
          <w:szCs w:val="24"/>
        </w:rPr>
        <w:t xml:space="preserve">Procedura usuwania błędów przez Wykonawcę będzie polegała na wprowadzeniu poprawek na środowisku developerskim BPMS-a i przeprowadzeniu testów  po stronie Wykonawcy. Następnie Wykonawca zainstaluje wersję aplikacji/procesu z poprawkami na środowisko testowe BPMS-a i udostępni użytkownikom do testów. Po zakończeniu testów przez użytkowników i po potwierdzeniu usunięcia błędu lub usterki Wykonawca wgrywa wersję aplikacji/procesu na środowisko produkcyjne BPMS. Nowe wersje aplikacji/procesu mogą zawierać wiele poprawek dla wielu błędów i usterek. Wykonawca jest odpowiedzialny za wdrożenie na wszystkich środowiskach ewentualnych zmian w bazie danych SOR, jeśli zmiany te wynikały z usunięcia błędu.  </w:t>
      </w:r>
    </w:p>
    <w:p w14:paraId="59EC08C4" w14:textId="77777777" w:rsidR="003D0CDA" w:rsidRPr="00387F54" w:rsidRDefault="003D0CDA" w:rsidP="003D0CDA">
      <w:pPr>
        <w:pStyle w:val="Akapitzlist"/>
        <w:numPr>
          <w:ilvl w:val="1"/>
          <w:numId w:val="1"/>
        </w:numPr>
        <w:ind w:left="426"/>
        <w:jc w:val="both"/>
        <w:rPr>
          <w:rFonts w:asciiTheme="minorHAnsi" w:eastAsia="Times New Roman" w:hAnsiTheme="minorHAnsi"/>
          <w:sz w:val="24"/>
          <w:szCs w:val="24"/>
        </w:rPr>
      </w:pPr>
      <w:r w:rsidRPr="00387F54">
        <w:rPr>
          <w:rFonts w:asciiTheme="minorHAnsi" w:eastAsia="Times New Roman" w:hAnsiTheme="minorHAnsi"/>
          <w:sz w:val="24"/>
          <w:szCs w:val="24"/>
        </w:rPr>
        <w:t>W systemie JIRA Software Zamawiający przewiduje następujące statusy zgłoszenia:</w:t>
      </w:r>
    </w:p>
    <w:p w14:paraId="4F19229D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lastRenderedPageBreak/>
        <w:t>Reported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status rejestracji zgłoszenia podlegający zatwierdzeniu przez Koordynatora CKP. W edycji u Zamawiającego.</w:t>
      </w:r>
    </w:p>
    <w:p w14:paraId="1251D1F5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t>Verification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w  trakcie weryfikacji zasadności. Powinien być przypisany do Kierownika CKP lub Głównego Architekta CKP.</w:t>
      </w:r>
    </w:p>
    <w:p w14:paraId="67F04D36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t>Waiting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oczekujący. Może być nie przypisany do nikogo.</w:t>
      </w:r>
    </w:p>
    <w:p w14:paraId="08CF0D14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t>Duplicate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status oznaczający duplikat innego zgłoszenia</w:t>
      </w:r>
    </w:p>
    <w:p w14:paraId="0A35606E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r w:rsidRPr="00387F54">
        <w:rPr>
          <w:rFonts w:asciiTheme="minorHAnsi" w:hAnsiTheme="minorHAnsi"/>
          <w:sz w:val="24"/>
          <w:szCs w:val="24"/>
        </w:rPr>
        <w:t>To Do – status przekazania zgłoszenia do Wykonawcy. W edycji u Wykonawcy.</w:t>
      </w:r>
    </w:p>
    <w:p w14:paraId="3CC11D39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r w:rsidRPr="00387F54">
        <w:rPr>
          <w:rFonts w:asciiTheme="minorHAnsi" w:hAnsiTheme="minorHAnsi"/>
          <w:sz w:val="24"/>
          <w:szCs w:val="24"/>
        </w:rPr>
        <w:t>Progressive – status świadczący o rozpoczęciu prac przez Wykonawcę. W edycji u Wykonawcy.</w:t>
      </w:r>
    </w:p>
    <w:p w14:paraId="578AF590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t>Fixed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naprawiony na środowisku developerskim, ale nie wgrany na środowisko testowe</w:t>
      </w:r>
    </w:p>
    <w:p w14:paraId="08FB77B2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r w:rsidRPr="00387F54">
        <w:rPr>
          <w:rFonts w:asciiTheme="minorHAnsi" w:hAnsiTheme="minorHAnsi"/>
          <w:sz w:val="24"/>
          <w:szCs w:val="24"/>
        </w:rPr>
        <w:t xml:space="preserve">To </w:t>
      </w:r>
      <w:proofErr w:type="spellStart"/>
      <w:r w:rsidRPr="00387F54">
        <w:rPr>
          <w:rFonts w:asciiTheme="minorHAnsi" w:hAnsiTheme="minorHAnsi"/>
          <w:sz w:val="24"/>
          <w:szCs w:val="24"/>
        </w:rPr>
        <w:t>Install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zadanie czekające na najbliższe okno serwisowe do wgrania na środowisko testowe.</w:t>
      </w:r>
    </w:p>
    <w:p w14:paraId="322BAE19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r w:rsidRPr="00387F54">
        <w:rPr>
          <w:rFonts w:asciiTheme="minorHAnsi" w:hAnsiTheme="minorHAnsi"/>
          <w:sz w:val="24"/>
          <w:szCs w:val="24"/>
        </w:rPr>
        <w:t xml:space="preserve">In </w:t>
      </w:r>
      <w:proofErr w:type="spellStart"/>
      <w:r w:rsidRPr="00387F54">
        <w:rPr>
          <w:rFonts w:asciiTheme="minorHAnsi" w:hAnsiTheme="minorHAnsi"/>
          <w:sz w:val="24"/>
          <w:szCs w:val="24"/>
        </w:rPr>
        <w:t>Review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status świadczący o zakończeniu testów na środowisku developerskim, wgraniu wersji aplikacji/procesu z poprawkami na środowisko testowe i udostępnienie użytkownikom poprawki do testowania.</w:t>
      </w:r>
    </w:p>
    <w:p w14:paraId="50C2C508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t>Done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status świadczy o potwierdzeniu przez użytkownika skutecznego usunięcia błędu lub usterki. </w:t>
      </w:r>
    </w:p>
    <w:p w14:paraId="5B0D967A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t>Invalid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status świadczący o odrzuceniu zgłoszenia jako niezasadne nie zawierające się w ramach niniejszej umowy. Możliwa edycja po stronie Wykonawcy i Zamawiającego.</w:t>
      </w:r>
    </w:p>
    <w:p w14:paraId="3352A69B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387F54">
        <w:rPr>
          <w:rFonts w:asciiTheme="minorHAnsi" w:hAnsiTheme="minorHAnsi"/>
          <w:sz w:val="24"/>
          <w:szCs w:val="24"/>
        </w:rPr>
        <w:t>Reopen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– operacja umożliwiająca ponowne otwarcie zgłoszenia oznaczonego jako </w:t>
      </w:r>
      <w:proofErr w:type="spellStart"/>
      <w:r w:rsidRPr="00387F54">
        <w:rPr>
          <w:rFonts w:asciiTheme="minorHAnsi" w:hAnsiTheme="minorHAnsi"/>
          <w:sz w:val="24"/>
          <w:szCs w:val="24"/>
        </w:rPr>
        <w:t>Invalid</w:t>
      </w:r>
      <w:proofErr w:type="spellEnd"/>
      <w:r w:rsidRPr="00387F54">
        <w:rPr>
          <w:rFonts w:asciiTheme="minorHAnsi" w:hAnsiTheme="minorHAnsi"/>
          <w:sz w:val="24"/>
          <w:szCs w:val="24"/>
        </w:rPr>
        <w:t xml:space="preserve"> i </w:t>
      </w:r>
      <w:proofErr w:type="spellStart"/>
      <w:r w:rsidRPr="00387F54">
        <w:rPr>
          <w:rFonts w:asciiTheme="minorHAnsi" w:hAnsiTheme="minorHAnsi"/>
          <w:sz w:val="24"/>
          <w:szCs w:val="24"/>
        </w:rPr>
        <w:t>Done</w:t>
      </w:r>
      <w:proofErr w:type="spellEnd"/>
      <w:r w:rsidRPr="00387F54">
        <w:rPr>
          <w:rFonts w:asciiTheme="minorHAnsi" w:hAnsiTheme="minorHAnsi"/>
          <w:sz w:val="24"/>
          <w:szCs w:val="24"/>
        </w:rPr>
        <w:t>. Możliwa edycja po stronie Wykonawcy i Zamawiającego.</w:t>
      </w:r>
    </w:p>
    <w:p w14:paraId="04CE4B73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  <w:r w:rsidRPr="00387F54">
        <w:rPr>
          <w:rFonts w:asciiTheme="minorHAnsi" w:hAnsiTheme="minorHAnsi"/>
          <w:sz w:val="24"/>
          <w:szCs w:val="24"/>
        </w:rPr>
        <w:t>Lista, nazewnictwo oraz opisy poszczególnych statusów mogą ulec zmianie w trakcie realizacji umowy. Każdorazowo Zamawiający będzie uzgadniał takie zmiany z Wykonawcą.</w:t>
      </w:r>
    </w:p>
    <w:p w14:paraId="793124A9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</w:p>
    <w:p w14:paraId="6D5855D6" w14:textId="77777777" w:rsidR="003D0CDA" w:rsidRPr="00387F54" w:rsidRDefault="003D0CDA" w:rsidP="003D0CDA">
      <w:pPr>
        <w:pStyle w:val="Akapitzlist"/>
        <w:ind w:left="360"/>
        <w:jc w:val="both"/>
        <w:rPr>
          <w:rFonts w:asciiTheme="minorHAnsi" w:hAnsiTheme="minorHAnsi"/>
          <w:sz w:val="24"/>
          <w:szCs w:val="24"/>
        </w:rPr>
      </w:pPr>
    </w:p>
    <w:p w14:paraId="70E1E90D" w14:textId="77777777" w:rsidR="00875E29" w:rsidRDefault="002357BC">
      <w:r>
        <w:t xml:space="preserve">Instrukcja do systemu </w:t>
      </w:r>
      <w:proofErr w:type="spellStart"/>
      <w:r>
        <w:t>Jira</w:t>
      </w:r>
      <w:proofErr w:type="spellEnd"/>
      <w:r>
        <w:t>:</w:t>
      </w:r>
    </w:p>
    <w:p w14:paraId="25B690BC" w14:textId="43D2CFE6" w:rsidR="002357BC" w:rsidRDefault="00AE384B">
      <w:r>
        <w:rPr>
          <w:rFonts w:ascii="Tahoma" w:hAnsi="Tahoma" w:cs="Tahoma"/>
          <w:sz w:val="20"/>
          <w:szCs w:val="20"/>
        </w:rPr>
        <w:object w:dxaOrig="1520" w:dyaOrig="987" w14:anchorId="245DF6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05pt;height:49.95pt" o:ole="">
            <v:imagedata r:id="rId7" o:title=""/>
          </v:shape>
          <o:OLEObject Type="Embed" ProgID="PowerPoint.Show.12" ShapeID="_x0000_i1025" DrawAspect="Icon" ObjectID="_1682498853" r:id="rId8"/>
        </w:object>
      </w:r>
    </w:p>
    <w:sectPr w:rsidR="002357B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E4D41" w14:textId="77777777" w:rsidR="009361C4" w:rsidRDefault="009361C4" w:rsidP="00561958">
      <w:pPr>
        <w:spacing w:after="0" w:line="240" w:lineRule="auto"/>
      </w:pPr>
      <w:r>
        <w:separator/>
      </w:r>
    </w:p>
  </w:endnote>
  <w:endnote w:type="continuationSeparator" w:id="0">
    <w:p w14:paraId="49CEDD04" w14:textId="77777777" w:rsidR="009361C4" w:rsidRDefault="009361C4" w:rsidP="00561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6CD31" w14:textId="77777777" w:rsidR="009361C4" w:rsidRDefault="009361C4" w:rsidP="00561958">
      <w:pPr>
        <w:spacing w:after="0" w:line="240" w:lineRule="auto"/>
      </w:pPr>
      <w:r>
        <w:separator/>
      </w:r>
    </w:p>
  </w:footnote>
  <w:footnote w:type="continuationSeparator" w:id="0">
    <w:p w14:paraId="670FC6FE" w14:textId="77777777" w:rsidR="009361C4" w:rsidRDefault="009361C4" w:rsidP="00561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1F7C3" w14:textId="77777777" w:rsidR="00561958" w:rsidRPr="00561958" w:rsidRDefault="00561958" w:rsidP="00561958">
    <w:pPr>
      <w:tabs>
        <w:tab w:val="left" w:pos="7062"/>
      </w:tabs>
      <w:spacing w:after="0" w:line="240" w:lineRule="auto"/>
      <w:jc w:val="right"/>
      <w:rPr>
        <w:rFonts w:ascii="Georgia" w:eastAsia="Calibri" w:hAnsi="Georgia" w:cs="Times New Roman"/>
      </w:rPr>
    </w:pPr>
    <w:bookmarkStart w:id="0" w:name="_Hlk26864757"/>
    <w:bookmarkStart w:id="1" w:name="_Hlk26864758"/>
    <w:bookmarkStart w:id="2" w:name="_Hlk65773974"/>
    <w:bookmarkStart w:id="3" w:name="_Hlk65773975"/>
    <w:bookmarkStart w:id="4" w:name="_Hlk65773976"/>
    <w:bookmarkStart w:id="5" w:name="_Hlk65773977"/>
    <w:bookmarkStart w:id="6" w:name="_Hlk65773978"/>
    <w:bookmarkStart w:id="7" w:name="_Hlk65773979"/>
    <w:bookmarkStart w:id="8" w:name="_Hlk65774151"/>
    <w:bookmarkStart w:id="9" w:name="_Hlk65774152"/>
    <w:bookmarkStart w:id="10" w:name="_Hlk65774154"/>
    <w:bookmarkStart w:id="11" w:name="_Hlk65774155"/>
    <w:bookmarkStart w:id="12" w:name="_Hlk65774156"/>
    <w:bookmarkStart w:id="13" w:name="_Hlk65774157"/>
    <w:bookmarkStart w:id="14" w:name="_Hlk65774158"/>
    <w:bookmarkStart w:id="15" w:name="_Hlk65774159"/>
    <w:bookmarkStart w:id="16" w:name="_Hlk65774160"/>
    <w:bookmarkStart w:id="17" w:name="_Hlk65774161"/>
    <w:bookmarkStart w:id="18" w:name="_Hlk65774162"/>
    <w:bookmarkStart w:id="19" w:name="_Hlk65774163"/>
    <w:r w:rsidRPr="00561958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3F065B3" wp14:editId="587A3EFF">
          <wp:extent cx="5448302" cy="704850"/>
          <wp:effectExtent l="0" t="0" r="0" b="0"/>
          <wp:docPr id="2" name="Obraz 11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2" cy="70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CACD57" w14:textId="77777777" w:rsidR="00561958" w:rsidRPr="00561958" w:rsidRDefault="00561958" w:rsidP="00561958">
    <w:pPr>
      <w:tabs>
        <w:tab w:val="left" w:pos="7062"/>
      </w:tabs>
      <w:spacing w:after="0" w:line="240" w:lineRule="auto"/>
      <w:jc w:val="right"/>
      <w:rPr>
        <w:rFonts w:ascii="Georgia" w:eastAsia="Calibri" w:hAnsi="Georgia" w:cs="Times New Roman"/>
      </w:rPr>
    </w:pPr>
  </w:p>
  <w:p w14:paraId="23346E81" w14:textId="77777777" w:rsidR="00561958" w:rsidRPr="00561958" w:rsidRDefault="00561958" w:rsidP="00561958">
    <w:pPr>
      <w:pBdr>
        <w:bottom w:val="single" w:sz="4" w:space="1" w:color="auto"/>
      </w:pBdr>
      <w:tabs>
        <w:tab w:val="center" w:pos="4536"/>
        <w:tab w:val="left" w:pos="7062"/>
        <w:tab w:val="right" w:pos="9072"/>
      </w:tabs>
      <w:spacing w:after="0" w:line="240" w:lineRule="auto"/>
      <w:jc w:val="center"/>
      <w:rPr>
        <w:rFonts w:ascii="Georgia" w:eastAsia="Calibri" w:hAnsi="Georgia" w:cs="Times New Roman"/>
        <w:sz w:val="16"/>
      </w:rPr>
    </w:pPr>
    <w:bookmarkStart w:id="20" w:name="_Hlk29292689"/>
    <w:bookmarkStart w:id="21" w:name="_Hlk65768437"/>
    <w:r w:rsidRPr="00561958">
      <w:rPr>
        <w:rFonts w:ascii="Georgia" w:eastAsia="Calibri" w:hAnsi="Georgia" w:cs="Times New Roman"/>
        <w:sz w:val="16"/>
      </w:rPr>
      <w:t>„Operacja - Integracja!" Zintegrowany Program Uniwersytetu Medycznego w Łodzi</w:t>
    </w:r>
    <w:bookmarkEnd w:id="20"/>
    <w:r w:rsidRPr="00561958">
      <w:rPr>
        <w:rFonts w:ascii="Georgia" w:eastAsia="Calibri" w:hAnsi="Georgia" w:cs="Times New Roman"/>
        <w:sz w:val="16"/>
      </w:rPr>
      <w:t xml:space="preserve"> </w:t>
    </w:r>
  </w:p>
  <w:p w14:paraId="2D8013EB" w14:textId="77777777" w:rsidR="00561958" w:rsidRPr="00561958" w:rsidRDefault="00561958" w:rsidP="00561958">
    <w:pPr>
      <w:pBdr>
        <w:bottom w:val="single" w:sz="4" w:space="1" w:color="auto"/>
      </w:pBdr>
      <w:tabs>
        <w:tab w:val="center" w:pos="4536"/>
        <w:tab w:val="left" w:pos="7062"/>
        <w:tab w:val="right" w:pos="9072"/>
      </w:tabs>
      <w:spacing w:after="0" w:line="240" w:lineRule="auto"/>
      <w:jc w:val="center"/>
      <w:rPr>
        <w:rFonts w:ascii="Georgia" w:eastAsia="Calibri" w:hAnsi="Georgia" w:cs="Times New Roman"/>
        <w:sz w:val="16"/>
      </w:rPr>
    </w:pPr>
    <w:r w:rsidRPr="00561958">
      <w:rPr>
        <w:rFonts w:ascii="Georgia" w:eastAsia="Calibri" w:hAnsi="Georgia" w:cs="Times New Roman"/>
        <w:sz w:val="16"/>
      </w:rPr>
      <w:t xml:space="preserve"> POWR.03.05.00-00-z065/17 współfinansowany z Unii Europejskiej w ramach Europejskiego Funduszu Społecznego</w:t>
    </w:r>
  </w:p>
  <w:p w14:paraId="2588FC09" w14:textId="77777777" w:rsidR="00561958" w:rsidRPr="00561958" w:rsidRDefault="00561958" w:rsidP="00561958">
    <w:pPr>
      <w:pBdr>
        <w:bottom w:val="single" w:sz="4" w:space="1" w:color="auto"/>
      </w:pBdr>
      <w:tabs>
        <w:tab w:val="left" w:pos="7062"/>
      </w:tabs>
      <w:spacing w:after="0" w:line="240" w:lineRule="auto"/>
      <w:jc w:val="center"/>
      <w:rPr>
        <w:rFonts w:ascii="Georgia" w:eastAsia="Calibri" w:hAnsi="Georgia" w:cs="Times New Roman"/>
        <w:sz w:val="16"/>
      </w:rPr>
    </w:pPr>
    <w:r w:rsidRPr="00561958">
      <w:rPr>
        <w:rFonts w:ascii="Georgia" w:eastAsia="Calibri" w:hAnsi="Georgia" w:cs="Times New Roman"/>
        <w:sz w:val="16"/>
      </w:rPr>
      <w:t>Priorytet III. Szkolnictwo wyższe dla gospodarki i rozwoju. Działanie 3.5 Kompleksowe programy szkół wyższych</w:t>
    </w:r>
    <w:bookmarkEnd w:id="0"/>
    <w:bookmarkEnd w:id="1"/>
    <w:bookmarkEnd w:id="21"/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p w14:paraId="0DDF6ED2" w14:textId="082F7C03" w:rsidR="00561958" w:rsidRDefault="0056195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55B3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9223F43"/>
    <w:multiLevelType w:val="hybridMultilevel"/>
    <w:tmpl w:val="70A24FBC"/>
    <w:styleLink w:val="Zaimportowanystyl17"/>
    <w:lvl w:ilvl="0" w:tplc="42F413BE">
      <w:start w:val="1"/>
      <w:numFmt w:val="lowerLetter"/>
      <w:lvlText w:val="%1)"/>
      <w:lvlJc w:val="left"/>
      <w:pPr>
        <w:ind w:left="709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A6C4610E">
      <w:start w:val="1"/>
      <w:numFmt w:val="lowerLetter"/>
      <w:lvlText w:val="%2."/>
      <w:lvlJc w:val="left"/>
      <w:pPr>
        <w:ind w:left="1429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4C59DA">
      <w:start w:val="1"/>
      <w:numFmt w:val="lowerRoman"/>
      <w:lvlText w:val="%3."/>
      <w:lvlJc w:val="left"/>
      <w:pPr>
        <w:ind w:left="2149" w:hanging="289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C761164">
      <w:start w:val="1"/>
      <w:numFmt w:val="decimal"/>
      <w:lvlText w:val="%4."/>
      <w:lvlJc w:val="left"/>
      <w:pPr>
        <w:ind w:left="2869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CE6C998">
      <w:start w:val="1"/>
      <w:numFmt w:val="lowerLetter"/>
      <w:lvlText w:val="%5."/>
      <w:lvlJc w:val="left"/>
      <w:pPr>
        <w:ind w:left="3589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5C67D6E">
      <w:start w:val="1"/>
      <w:numFmt w:val="lowerRoman"/>
      <w:lvlText w:val="%6."/>
      <w:lvlJc w:val="left"/>
      <w:pPr>
        <w:ind w:left="4309" w:hanging="289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BA8A290">
      <w:start w:val="1"/>
      <w:numFmt w:val="decimal"/>
      <w:lvlText w:val="%7."/>
      <w:lvlJc w:val="left"/>
      <w:pPr>
        <w:ind w:left="5029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3DA3D08">
      <w:start w:val="1"/>
      <w:numFmt w:val="lowerLetter"/>
      <w:lvlText w:val="%8."/>
      <w:lvlJc w:val="left"/>
      <w:pPr>
        <w:ind w:left="5749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9EB3E4">
      <w:start w:val="1"/>
      <w:numFmt w:val="lowerRoman"/>
      <w:lvlText w:val="%9."/>
      <w:lvlJc w:val="left"/>
      <w:pPr>
        <w:ind w:left="6469" w:hanging="289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73717981"/>
    <w:multiLevelType w:val="hybridMultilevel"/>
    <w:tmpl w:val="70A24FBC"/>
    <w:numStyleLink w:val="Zaimportowanystyl17"/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CDA"/>
    <w:rsid w:val="002357BC"/>
    <w:rsid w:val="003A6A93"/>
    <w:rsid w:val="003D0CDA"/>
    <w:rsid w:val="004854A1"/>
    <w:rsid w:val="00561958"/>
    <w:rsid w:val="009361C4"/>
    <w:rsid w:val="00AE384B"/>
    <w:rsid w:val="00BE5C93"/>
    <w:rsid w:val="00D301AC"/>
    <w:rsid w:val="00EA5F23"/>
    <w:rsid w:val="00F8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7A279"/>
  <w15:chartTrackingRefBased/>
  <w15:docId w15:val="{9D586AEF-D25D-4A6A-B3B1-5E4CD7E9F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0C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CDA"/>
    <w:pPr>
      <w:spacing w:after="0" w:line="240" w:lineRule="auto"/>
      <w:ind w:left="720"/>
    </w:pPr>
    <w:rPr>
      <w:rFonts w:ascii="Calibri" w:hAnsi="Calibri" w:cs="Times New Roman"/>
    </w:rPr>
  </w:style>
  <w:style w:type="numbering" w:customStyle="1" w:styleId="Zaimportowanystyl17">
    <w:name w:val="Zaimportowany styl 17"/>
    <w:rsid w:val="003A6A93"/>
    <w:pPr>
      <w:numPr>
        <w:numId w:val="2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357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57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57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7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7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5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7B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561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1958"/>
  </w:style>
  <w:style w:type="paragraph" w:styleId="Stopka">
    <w:name w:val="footer"/>
    <w:basedOn w:val="Normalny"/>
    <w:link w:val="StopkaZnak"/>
    <w:uiPriority w:val="99"/>
    <w:unhideWhenUsed/>
    <w:rsid w:val="00561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1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1004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Łańcuchowska</dc:creator>
  <cp:keywords/>
  <dc:description/>
  <cp:lastModifiedBy>Edyta Wysokińska</cp:lastModifiedBy>
  <cp:revision>2</cp:revision>
  <dcterms:created xsi:type="dcterms:W3CDTF">2021-05-14T10:01:00Z</dcterms:created>
  <dcterms:modified xsi:type="dcterms:W3CDTF">2021-05-14T10:01:00Z</dcterms:modified>
</cp:coreProperties>
</file>