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E85E7C" w:rsidRDefault="00DE75FD" w:rsidP="00E85E7C">
      <w:pPr>
        <w:spacing w:after="0" w:line="240" w:lineRule="auto"/>
        <w:jc w:val="right"/>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  Kraków, dnia </w:t>
      </w:r>
      <w:r w:rsidR="001F0062">
        <w:rPr>
          <w:rFonts w:ascii="Garamond" w:eastAsia="Times New Roman" w:hAnsi="Garamond" w:cs="Times New Roman"/>
          <w:color w:val="000000" w:themeColor="text1"/>
          <w:lang w:eastAsia="pl-PL"/>
        </w:rPr>
        <w:t>24.10</w:t>
      </w:r>
      <w:r w:rsidR="00F47622"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Pr="00E85E7C">
        <w:rPr>
          <w:rFonts w:ascii="Garamond" w:eastAsia="Times New Roman" w:hAnsi="Garamond" w:cs="Times New Roman"/>
          <w:color w:val="000000" w:themeColor="text1"/>
          <w:lang w:eastAsia="pl-PL"/>
        </w:rPr>
        <w:t xml:space="preserve"> r.</w:t>
      </w:r>
    </w:p>
    <w:p w:rsidR="00DE75FD" w:rsidRPr="00E85E7C" w:rsidRDefault="003536B2" w:rsidP="00E85E7C">
      <w:pPr>
        <w:spacing w:after="0" w:line="240" w:lineRule="auto"/>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Nr sprawy: DFP.271.</w:t>
      </w:r>
      <w:r w:rsidR="001F0062">
        <w:rPr>
          <w:rFonts w:ascii="Garamond" w:eastAsia="Times New Roman" w:hAnsi="Garamond" w:cs="Times New Roman"/>
          <w:color w:val="000000" w:themeColor="text1"/>
          <w:lang w:eastAsia="pl-PL"/>
        </w:rPr>
        <w:t>141</w:t>
      </w:r>
      <w:r w:rsidR="006E59CC"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00C4068D" w:rsidRPr="00E85E7C">
        <w:rPr>
          <w:rFonts w:ascii="Garamond" w:eastAsia="Times New Roman" w:hAnsi="Garamond" w:cs="Times New Roman"/>
          <w:color w:val="000000" w:themeColor="text1"/>
          <w:lang w:eastAsia="pl-PL"/>
        </w:rPr>
        <w:t>.LS</w:t>
      </w:r>
    </w:p>
    <w:p w:rsidR="004C4363" w:rsidRPr="00E85E7C" w:rsidRDefault="004C4363" w:rsidP="00E85E7C">
      <w:pPr>
        <w:spacing w:after="0" w:line="240" w:lineRule="auto"/>
        <w:jc w:val="both"/>
        <w:rPr>
          <w:rFonts w:ascii="Garamond" w:eastAsia="Times New Roman" w:hAnsi="Garamond" w:cs="Times New Roman"/>
          <w:color w:val="000000" w:themeColor="text1"/>
          <w:lang w:eastAsia="pl-PL"/>
        </w:rPr>
      </w:pPr>
    </w:p>
    <w:p w:rsidR="00DE75FD" w:rsidRPr="00E85E7C" w:rsidRDefault="00DE75FD" w:rsidP="00E85E7C">
      <w:pPr>
        <w:spacing w:after="0" w:line="240" w:lineRule="auto"/>
        <w:jc w:val="right"/>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Do wszystkich Wykonawców biorących udział w postępowaniu</w:t>
      </w:r>
    </w:p>
    <w:p w:rsidR="00DB5A02" w:rsidRDefault="00DB5A02" w:rsidP="00E85E7C">
      <w:pPr>
        <w:spacing w:after="0" w:line="240" w:lineRule="auto"/>
        <w:ind w:left="851" w:hanging="851"/>
        <w:jc w:val="both"/>
        <w:rPr>
          <w:rFonts w:ascii="Garamond" w:eastAsia="Times New Roman" w:hAnsi="Garamond" w:cs="Times New Roman"/>
          <w:bCs/>
          <w:color w:val="000000" w:themeColor="text1"/>
          <w:lang w:eastAsia="pl-PL"/>
        </w:rPr>
      </w:pPr>
    </w:p>
    <w:p w:rsidR="004C4363" w:rsidRPr="00E85E7C" w:rsidRDefault="004C4363" w:rsidP="00E85E7C">
      <w:pPr>
        <w:spacing w:after="0" w:line="240" w:lineRule="auto"/>
        <w:ind w:left="851" w:hanging="851"/>
        <w:jc w:val="both"/>
        <w:rPr>
          <w:rFonts w:ascii="Garamond" w:eastAsia="Times New Roman" w:hAnsi="Garamond" w:cs="Times New Roman"/>
          <w:bCs/>
          <w:color w:val="000000" w:themeColor="text1"/>
          <w:lang w:eastAsia="pl-PL"/>
        </w:rPr>
      </w:pPr>
    </w:p>
    <w:p w:rsidR="008D09C9" w:rsidRPr="00E85E7C" w:rsidRDefault="00DE75FD" w:rsidP="00E85E7C">
      <w:pPr>
        <w:tabs>
          <w:tab w:val="left" w:pos="993"/>
        </w:tabs>
        <w:spacing w:after="0" w:line="240" w:lineRule="auto"/>
        <w:ind w:left="990" w:hanging="990"/>
        <w:jc w:val="both"/>
        <w:rPr>
          <w:rFonts w:ascii="Garamond" w:eastAsia="Times New Roman" w:hAnsi="Garamond" w:cs="Times New Roman"/>
          <w:bCs/>
          <w:iCs/>
          <w:color w:val="000000" w:themeColor="text1"/>
          <w:lang w:eastAsia="pl-PL"/>
        </w:rPr>
      </w:pPr>
      <w:r w:rsidRPr="00E85E7C">
        <w:rPr>
          <w:rFonts w:ascii="Garamond" w:eastAsia="Times New Roman" w:hAnsi="Garamond" w:cs="Times New Roman"/>
          <w:bCs/>
          <w:color w:val="000000" w:themeColor="text1"/>
          <w:lang w:eastAsia="pl-PL"/>
        </w:rPr>
        <w:t>Dotyczy:</w:t>
      </w:r>
      <w:r w:rsidR="008D09C9" w:rsidRPr="00E85E7C">
        <w:rPr>
          <w:rFonts w:ascii="Garamond" w:eastAsia="Times New Roman" w:hAnsi="Garamond" w:cs="Times New Roman"/>
          <w:bCs/>
          <w:color w:val="000000" w:themeColor="text1"/>
          <w:lang w:eastAsia="pl-PL"/>
        </w:rPr>
        <w:t xml:space="preserve"> </w:t>
      </w:r>
      <w:r w:rsidR="00F51F3E" w:rsidRPr="00E85E7C">
        <w:rPr>
          <w:rFonts w:ascii="Garamond" w:eastAsia="Times New Roman" w:hAnsi="Garamond" w:cs="Times New Roman"/>
          <w:bCs/>
          <w:color w:val="000000" w:themeColor="text1"/>
          <w:lang w:eastAsia="pl-PL"/>
        </w:rPr>
        <w:tab/>
      </w:r>
      <w:r w:rsidRPr="00E85E7C">
        <w:rPr>
          <w:rFonts w:ascii="Garamond" w:eastAsia="Times New Roman" w:hAnsi="Garamond" w:cs="Times New Roman"/>
          <w:color w:val="000000" w:themeColor="text1"/>
          <w:lang w:eastAsia="pl-PL"/>
        </w:rPr>
        <w:t xml:space="preserve">postępowania o udzielenie zamówienia publicznego na </w:t>
      </w:r>
      <w:r w:rsidR="00324A41">
        <w:rPr>
          <w:rFonts w:ascii="Garamond" w:eastAsia="Times New Roman" w:hAnsi="Garamond" w:cs="Times New Roman"/>
          <w:bCs/>
          <w:iCs/>
          <w:color w:val="000000" w:themeColor="text1"/>
          <w:lang w:eastAsia="pl-PL"/>
        </w:rPr>
        <w:t>dostawę</w:t>
      </w:r>
      <w:r w:rsidR="00324A41" w:rsidRPr="00324A41">
        <w:rPr>
          <w:rFonts w:ascii="Garamond" w:eastAsia="Times New Roman" w:hAnsi="Garamond" w:cs="Times New Roman"/>
          <w:bCs/>
          <w:iCs/>
          <w:color w:val="000000" w:themeColor="text1"/>
          <w:lang w:eastAsia="pl-PL"/>
        </w:rPr>
        <w:t xml:space="preserve"> </w:t>
      </w:r>
      <w:r w:rsidR="001F0062" w:rsidRPr="001F0062">
        <w:rPr>
          <w:rFonts w:ascii="Garamond" w:eastAsia="Times New Roman" w:hAnsi="Garamond" w:cs="Times New Roman"/>
          <w:bCs/>
          <w:iCs/>
          <w:color w:val="000000" w:themeColor="text1"/>
          <w:lang w:eastAsia="pl-PL"/>
        </w:rPr>
        <w:t>materiałów do zespoleń i zabiegów ortopedyczno-urazowych do Szpitala Uniwersyteckiego w Krakowie</w:t>
      </w:r>
      <w:r w:rsidR="008D09C9" w:rsidRPr="00E85E7C">
        <w:rPr>
          <w:rFonts w:ascii="Garamond" w:eastAsia="Times New Roman" w:hAnsi="Garamond" w:cs="Times New Roman"/>
          <w:bCs/>
          <w:iCs/>
          <w:color w:val="000000" w:themeColor="text1"/>
          <w:lang w:eastAsia="pl-PL"/>
        </w:rPr>
        <w:t>.</w:t>
      </w:r>
    </w:p>
    <w:p w:rsidR="00DA5168" w:rsidRPr="00E85E7C" w:rsidRDefault="00DA5168" w:rsidP="00E85E7C">
      <w:pPr>
        <w:spacing w:after="0" w:line="240" w:lineRule="auto"/>
        <w:jc w:val="both"/>
        <w:rPr>
          <w:rFonts w:ascii="Garamond" w:eastAsia="Times New Roman" w:hAnsi="Garamond" w:cs="Times New Roman"/>
          <w:bCs/>
          <w:iCs/>
          <w:color w:val="000000" w:themeColor="text1"/>
          <w:lang w:eastAsia="pl-PL"/>
        </w:rPr>
      </w:pPr>
    </w:p>
    <w:p w:rsidR="00A70379" w:rsidRPr="00E85E7C" w:rsidRDefault="00951156" w:rsidP="00E85E7C">
      <w:pPr>
        <w:tabs>
          <w:tab w:val="left" w:pos="2467"/>
        </w:tabs>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ab/>
      </w:r>
    </w:p>
    <w:p w:rsidR="00056A8A" w:rsidRPr="00E85E7C" w:rsidRDefault="001F0062" w:rsidP="00E85E7C">
      <w:pPr>
        <w:spacing w:after="0" w:line="240" w:lineRule="auto"/>
        <w:ind w:firstLine="708"/>
        <w:jc w:val="both"/>
        <w:rPr>
          <w:rFonts w:ascii="Garamond" w:eastAsia="Times New Roman" w:hAnsi="Garamond" w:cs="Times New Roman"/>
          <w:color w:val="000000" w:themeColor="text1"/>
          <w:lang w:eastAsia="pl-PL"/>
        </w:rPr>
      </w:pPr>
      <w:r w:rsidRPr="001F0062">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4C4363" w:rsidRPr="00E85E7C" w:rsidRDefault="004C4363" w:rsidP="00E85E7C">
      <w:pPr>
        <w:spacing w:after="0" w:line="240" w:lineRule="auto"/>
        <w:jc w:val="both"/>
        <w:rPr>
          <w:rFonts w:ascii="Garamond" w:eastAsia="Times New Roman" w:hAnsi="Garamond" w:cs="Times New Roman"/>
          <w:color w:val="000000" w:themeColor="text1"/>
          <w:lang w:eastAsia="pl-PL"/>
        </w:rPr>
      </w:pPr>
    </w:p>
    <w:p w:rsidR="002E1600" w:rsidRPr="00E85E7C" w:rsidRDefault="002E1600"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E03A86" w:rsidRPr="00E85E7C">
        <w:rPr>
          <w:rFonts w:ascii="Garamond" w:eastAsia="Times New Roman" w:hAnsi="Garamond" w:cs="Times New Roman"/>
          <w:b/>
          <w:bCs/>
          <w:color w:val="000000" w:themeColor="text1"/>
          <w:lang w:eastAsia="pl-PL"/>
        </w:rPr>
        <w:t>1</w:t>
      </w:r>
    </w:p>
    <w:p w:rsidR="001F0062" w:rsidRPr="001F0062" w:rsidRDefault="001F0062" w:rsidP="001F0062">
      <w:pPr>
        <w:spacing w:after="0" w:line="240" w:lineRule="auto"/>
        <w:jc w:val="both"/>
        <w:rPr>
          <w:rFonts w:ascii="Garamond" w:eastAsia="Times New Roman" w:hAnsi="Garamond" w:cs="Times New Roman"/>
          <w:bCs/>
          <w:color w:val="000000" w:themeColor="text1"/>
          <w:lang w:eastAsia="pl-PL"/>
        </w:rPr>
      </w:pPr>
      <w:r w:rsidRPr="001F0062">
        <w:rPr>
          <w:rFonts w:ascii="Garamond" w:eastAsia="Times New Roman" w:hAnsi="Garamond" w:cs="Times New Roman"/>
          <w:bCs/>
          <w:color w:val="000000" w:themeColor="text1"/>
          <w:lang w:eastAsia="pl-PL"/>
        </w:rPr>
        <w:t>Pytanie do projektu umowy § 6</w:t>
      </w:r>
    </w:p>
    <w:p w:rsidR="001A51F6" w:rsidRPr="001A51F6" w:rsidRDefault="001F0062" w:rsidP="001F0062">
      <w:pPr>
        <w:spacing w:after="0" w:line="240" w:lineRule="auto"/>
        <w:jc w:val="both"/>
        <w:rPr>
          <w:rFonts w:ascii="Garamond" w:eastAsia="Times New Roman" w:hAnsi="Garamond" w:cs="Times New Roman"/>
          <w:bCs/>
          <w:color w:val="000000" w:themeColor="text1"/>
          <w:lang w:eastAsia="pl-PL"/>
        </w:rPr>
      </w:pPr>
      <w:r w:rsidRPr="001F0062">
        <w:rPr>
          <w:rFonts w:ascii="Garamond" w:eastAsia="Times New Roman" w:hAnsi="Garamond" w:cs="Times New Roman"/>
          <w:bCs/>
          <w:color w:val="000000" w:themeColor="text1"/>
          <w:lang w:eastAsia="pl-PL"/>
        </w:rPr>
        <w:t>Czy Zamawiający wyrazi zgodę na zmian zapisu i dodanie informacji o terminie na zgłoszenie reklamacji na: „ W przypadku stwierdzenia przez Zamawiającego niewłaściwej ilości lub wad jakościowych zakupionego asortymentu Zamawiający sporządza protokół, który stanowić będzie podstawę do wymiany asortymentu wadliwego na pozbawiony wad. Dla swojej ważności, reklamacja musi zostać zgłoszona pisemnie na formularzu Wykonawcy, w ciągu 24h od chwili powzięcia wiadomości o zaistniałych nieprawidłowościach, na adres e-mail: ……………… . Za datę zgłoszenia reklamacji uznaje się dzień pisemnego zawiadomienia (na podstawie formularza)”?</w:t>
      </w:r>
    </w:p>
    <w:p w:rsidR="001A51F6" w:rsidRDefault="001A51F6" w:rsidP="001A51F6">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ED1C22" w:rsidRPr="00E85E7C" w:rsidRDefault="009A2869" w:rsidP="001A51F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w:t>
      </w:r>
      <w:r w:rsidRPr="009A2869">
        <w:rPr>
          <w:rFonts w:ascii="Garamond" w:eastAsia="Times New Roman" w:hAnsi="Garamond" w:cs="Times New Roman"/>
          <w:color w:val="000000" w:themeColor="text1"/>
          <w:lang w:eastAsia="pl-PL"/>
        </w:rPr>
        <w:t>cy nie wyraża zgody. Wzór umowy pozostaje bez zmian.</w:t>
      </w:r>
    </w:p>
    <w:p w:rsidR="001A51F6" w:rsidRPr="001A51F6" w:rsidRDefault="001A51F6" w:rsidP="001A51F6">
      <w:pPr>
        <w:spacing w:after="0" w:line="240" w:lineRule="auto"/>
        <w:jc w:val="both"/>
        <w:rPr>
          <w:rFonts w:ascii="Garamond" w:eastAsia="Times New Roman" w:hAnsi="Garamond" w:cs="Times New Roman"/>
          <w:bCs/>
          <w:color w:val="000000" w:themeColor="text1"/>
          <w:lang w:eastAsia="pl-PL"/>
        </w:rPr>
      </w:pPr>
    </w:p>
    <w:p w:rsidR="0089540C" w:rsidRPr="009A2869" w:rsidRDefault="009A2869" w:rsidP="00324A41">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2</w:t>
      </w:r>
    </w:p>
    <w:p w:rsidR="001F0062" w:rsidRDefault="009A2869" w:rsidP="00324A41">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Czy Zamawiający wyrazi zgodę na dodanie do projektu umowy zapisu: „Umowa wygasa z dniem rozstrzygnięcia kolejnego postępowania przetargowego dotyczącego przedmiotu umowy”.</w:t>
      </w:r>
    </w:p>
    <w:p w:rsidR="009A2869" w:rsidRDefault="009A2869" w:rsidP="009A2869">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9A2869" w:rsidRPr="00E85E7C" w:rsidRDefault="009A2869" w:rsidP="009A2869">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w:t>
      </w:r>
      <w:r w:rsidRPr="009A2869">
        <w:rPr>
          <w:rFonts w:ascii="Garamond" w:eastAsia="Times New Roman" w:hAnsi="Garamond" w:cs="Times New Roman"/>
          <w:color w:val="000000" w:themeColor="text1"/>
          <w:lang w:eastAsia="pl-PL"/>
        </w:rPr>
        <w:t>cy nie wyraża zgody. Wzór umowy pozostaje bez zmian.</w:t>
      </w:r>
    </w:p>
    <w:p w:rsidR="001F0062" w:rsidRDefault="001F0062" w:rsidP="00324A41">
      <w:pPr>
        <w:spacing w:after="0" w:line="240" w:lineRule="auto"/>
        <w:jc w:val="both"/>
        <w:rPr>
          <w:rFonts w:ascii="Garamond" w:eastAsia="Times New Roman" w:hAnsi="Garamond" w:cs="Times New Roman"/>
          <w:color w:val="000000" w:themeColor="text1"/>
          <w:lang w:eastAsia="pl-PL"/>
        </w:rPr>
      </w:pPr>
    </w:p>
    <w:p w:rsidR="001F0062" w:rsidRPr="009A2869" w:rsidRDefault="009A2869" w:rsidP="00324A41">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3</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Pytanie do projektu umowy:</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Czy Zamawiający wyrazi zgodę na dodanie do projektu umowy poniższych zapisów?</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1. Dwa razy w roku Zamawiający zobowiązany jest do udostępnienia Depozytu Wykonawcy w celu przeprowadzenia inwentaryzacji. W przypadku stwierdzenia braków inwentaryzacyjnych lub stwierdzenia, że raport zużycia został sporządzony, lecz niedostarczony Wykonawcy w terminie, Wykonawca uprawniony jest do wystawienia właściwej faktury. Inwentaryzacje będą każdorazowo uzgadniane z upoważnionym pracownikiem Zamawiającego. Z przeprowadzonej inwentaryzacji Strony sporządzać będą właściwy protokół.</w:t>
      </w:r>
    </w:p>
    <w:p w:rsid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2. Zamawiający zobowiązuje się do bieżącej kontroli terminu ważności produktów będących w Depozycie i zwrotu Wykonawcy dostarczonego i niewykorzystanego towaru nie później niż na co najmniej 30 dni przed upływem daty przydatności do użycia. Wykonawca w takich przypadkach zobowiązany jest do wymiany w ciągu 2 dni roboczych towar na identyczny z terminem przydatności do użycia/ważności/gwarancji.</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3. Zamawiający zobowiązuje się pobierać z Depozytu towary o najkrótszym terminie ważności, zgodnie z zasadą FEFO (</w:t>
      </w:r>
      <w:proofErr w:type="spellStart"/>
      <w:r w:rsidRPr="009A2869">
        <w:rPr>
          <w:rFonts w:ascii="Garamond" w:eastAsia="Times New Roman" w:hAnsi="Garamond" w:cs="Times New Roman"/>
          <w:color w:val="000000" w:themeColor="text1"/>
          <w:lang w:eastAsia="pl-PL"/>
        </w:rPr>
        <w:t>first</w:t>
      </w:r>
      <w:proofErr w:type="spellEnd"/>
      <w:r w:rsidRPr="009A2869">
        <w:rPr>
          <w:rFonts w:ascii="Garamond" w:eastAsia="Times New Roman" w:hAnsi="Garamond" w:cs="Times New Roman"/>
          <w:color w:val="000000" w:themeColor="text1"/>
          <w:lang w:eastAsia="pl-PL"/>
        </w:rPr>
        <w:t xml:space="preserve"> </w:t>
      </w:r>
      <w:proofErr w:type="spellStart"/>
      <w:r w:rsidRPr="009A2869">
        <w:rPr>
          <w:rFonts w:ascii="Garamond" w:eastAsia="Times New Roman" w:hAnsi="Garamond" w:cs="Times New Roman"/>
          <w:color w:val="000000" w:themeColor="text1"/>
          <w:lang w:eastAsia="pl-PL"/>
        </w:rPr>
        <w:t>expired</w:t>
      </w:r>
      <w:proofErr w:type="spellEnd"/>
      <w:r w:rsidRPr="009A2869">
        <w:rPr>
          <w:rFonts w:ascii="Garamond" w:eastAsia="Times New Roman" w:hAnsi="Garamond" w:cs="Times New Roman"/>
          <w:color w:val="000000" w:themeColor="text1"/>
          <w:lang w:eastAsia="pl-PL"/>
        </w:rPr>
        <w:t xml:space="preserve"> </w:t>
      </w:r>
      <w:proofErr w:type="spellStart"/>
      <w:r w:rsidRPr="009A2869">
        <w:rPr>
          <w:rFonts w:ascii="Garamond" w:eastAsia="Times New Roman" w:hAnsi="Garamond" w:cs="Times New Roman"/>
          <w:color w:val="000000" w:themeColor="text1"/>
          <w:lang w:eastAsia="pl-PL"/>
        </w:rPr>
        <w:t>first</w:t>
      </w:r>
      <w:proofErr w:type="spellEnd"/>
      <w:r w:rsidRPr="009A2869">
        <w:rPr>
          <w:rFonts w:ascii="Garamond" w:eastAsia="Times New Roman" w:hAnsi="Garamond" w:cs="Times New Roman"/>
          <w:color w:val="000000" w:themeColor="text1"/>
          <w:lang w:eastAsia="pl-PL"/>
        </w:rPr>
        <w:t xml:space="preserve"> out).</w:t>
      </w:r>
    </w:p>
    <w:p w:rsidR="001F0062"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4. W przypadku, gdy Zamawiający nie zwróci towaru przed upływem daty ważności, taki towar będzie potraktowany jako zużyty przez Zamawiającego i Zamawiający będzie zobowiązany do zapłaty za ten towar na zasadach i w terminach opisanych w §4 Umowy.</w:t>
      </w:r>
    </w:p>
    <w:p w:rsidR="009A2869" w:rsidRDefault="009A2869" w:rsidP="009A2869">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9A2869" w:rsidRPr="00E85E7C" w:rsidRDefault="009A2869" w:rsidP="009A2869">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w:t>
      </w:r>
      <w:r w:rsidRPr="009A2869">
        <w:rPr>
          <w:rFonts w:ascii="Garamond" w:eastAsia="Times New Roman" w:hAnsi="Garamond" w:cs="Times New Roman"/>
          <w:color w:val="000000" w:themeColor="text1"/>
          <w:lang w:eastAsia="pl-PL"/>
        </w:rPr>
        <w:t>cy nie wyraża zgody. Wzór umowy pozostaje bez zmian.</w:t>
      </w:r>
    </w:p>
    <w:p w:rsidR="009A2869" w:rsidRDefault="009A2869" w:rsidP="001F0062">
      <w:pPr>
        <w:spacing w:after="0" w:line="240" w:lineRule="auto"/>
        <w:jc w:val="both"/>
        <w:rPr>
          <w:rFonts w:ascii="Garamond" w:eastAsia="Times New Roman" w:hAnsi="Garamond" w:cs="Times New Roman"/>
          <w:color w:val="000000" w:themeColor="text1"/>
          <w:lang w:eastAsia="pl-PL"/>
        </w:rPr>
      </w:pPr>
    </w:p>
    <w:p w:rsidR="009A2869" w:rsidRPr="009A2869" w:rsidRDefault="009A2869" w:rsidP="009A2869">
      <w:pPr>
        <w:spacing w:after="0" w:line="240" w:lineRule="auto"/>
        <w:jc w:val="both"/>
        <w:rPr>
          <w:rFonts w:ascii="Garamond" w:eastAsia="Times New Roman" w:hAnsi="Garamond" w:cs="Times New Roman"/>
          <w:b/>
          <w:bCs/>
          <w:color w:val="000000" w:themeColor="text1"/>
          <w:lang w:eastAsia="pl-PL"/>
        </w:rPr>
      </w:pPr>
      <w:r w:rsidRPr="009A2869">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4</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 xml:space="preserve">Dotyczy pakietu 5 </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Czy Zamawiający zrezygnuje z depozytu dla pakietu 5 i wyrazi zgodę, aby dostawy odbywały się sukcesywnie na podstawie zamówień w terminie do 5 dni roboczych od złożenia zamówienia, a dostawy pilne w terminie do 2 dni roboczych od złożenia zamówienia, stosownym transportem i na koszt Wykonawcy?</w:t>
      </w:r>
    </w:p>
    <w:p w:rsidR="009A2869" w:rsidRDefault="009A2869" w:rsidP="009A2869">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9A2869" w:rsidRDefault="009A2869" w:rsidP="009A2869">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color w:val="000000" w:themeColor="text1"/>
          <w:lang w:eastAsia="pl-PL"/>
        </w:rPr>
        <w:t xml:space="preserve">Zamawiający wyraża zgodę, tj. w zakresie części 5 Zamawiający usuwa wymóg utworzenia magazynu </w:t>
      </w:r>
      <w:r w:rsidRPr="009A2869">
        <w:rPr>
          <w:rFonts w:ascii="Garamond" w:eastAsia="Times New Roman" w:hAnsi="Garamond" w:cs="Times New Roman"/>
          <w:bCs/>
          <w:color w:val="000000" w:themeColor="text1"/>
          <w:lang w:eastAsia="pl-PL"/>
        </w:rPr>
        <w:t>(magazynu komisowego/depozytowego)</w:t>
      </w:r>
      <w:r>
        <w:rPr>
          <w:rFonts w:ascii="Garamond" w:eastAsia="Times New Roman" w:hAnsi="Garamond" w:cs="Times New Roman"/>
          <w:bCs/>
          <w:color w:val="000000" w:themeColor="text1"/>
          <w:lang w:eastAsia="pl-PL"/>
        </w:rPr>
        <w:t>, na poczet dostaw sukcesywnych – zgodnie z poniższymi zmianami w poszczególnych dokumentach.</w:t>
      </w:r>
    </w:p>
    <w:p w:rsidR="009A2869" w:rsidRDefault="009A2869" w:rsidP="009A2869">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W związku z powyższym zmianie ulegają:</w:t>
      </w:r>
    </w:p>
    <w:p w:rsidR="00FD0BC9" w:rsidRDefault="00FD0BC9" w:rsidP="009A2869">
      <w:pPr>
        <w:spacing w:after="0" w:line="240" w:lineRule="auto"/>
        <w:jc w:val="both"/>
        <w:rPr>
          <w:rFonts w:ascii="Garamond" w:eastAsia="Times New Roman" w:hAnsi="Garamond" w:cs="Times New Roman"/>
          <w:color w:val="000000" w:themeColor="text1"/>
          <w:lang w:eastAsia="pl-PL"/>
        </w:rPr>
      </w:pPr>
    </w:p>
    <w:p w:rsidR="009A2869" w:rsidRDefault="00FD0BC9" w:rsidP="009A2869">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pkt. 4.2 i 4.3 SWZ, które otrzymują nowe brzmienie:</w:t>
      </w:r>
    </w:p>
    <w:p w:rsidR="00FD0BC9" w:rsidRPr="00FD0BC9" w:rsidRDefault="00FD0BC9" w:rsidP="00FD0BC9">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„4.2. </w:t>
      </w:r>
      <w:r w:rsidRPr="00FD0BC9">
        <w:rPr>
          <w:rFonts w:ascii="Garamond" w:eastAsia="Times New Roman" w:hAnsi="Garamond" w:cs="Times New Roman"/>
          <w:color w:val="000000" w:themeColor="text1"/>
          <w:lang w:eastAsia="pl-PL"/>
        </w:rPr>
        <w:t xml:space="preserve">Dotyczy części 1, 3, 4 (poz. 2-45), </w:t>
      </w:r>
      <w:r w:rsidRPr="00FD0BC9">
        <w:rPr>
          <w:rFonts w:ascii="Garamond" w:eastAsia="Times New Roman" w:hAnsi="Garamond" w:cs="Times New Roman"/>
          <w:color w:val="000000" w:themeColor="text1"/>
          <w:u w:val="single"/>
          <w:lang w:eastAsia="pl-PL"/>
        </w:rPr>
        <w:t>części 5</w:t>
      </w:r>
      <w:r w:rsidRPr="00FD0BC9">
        <w:rPr>
          <w:rFonts w:ascii="Garamond" w:eastAsia="Times New Roman" w:hAnsi="Garamond" w:cs="Times New Roman"/>
          <w:color w:val="000000" w:themeColor="text1"/>
          <w:lang w:eastAsia="pl-PL"/>
        </w:rPr>
        <w:t>: Dostawy odbywać się będą sukcesywnie na podstawie zamówień w terminie do 5 dni roboczych od złożenia zamówienia, a dostawy pilne w terminie do 2 dni roboczych od złożenia zamówienia, stosownym transportem i na koszt Wykonawcy.</w:t>
      </w:r>
    </w:p>
    <w:p w:rsidR="00FD0BC9" w:rsidRPr="00FD0BC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Zamawiający zastrzega sobie prawo dłuższego czasu realizacji dostawy, w przypadku wskazania tego każdorazowo na częściowym zamówieniu, przy czym czas ten nie może być dłuższy niż 60 dni od dnia otrzymania zamówienia przez Wykonawcę.</w:t>
      </w:r>
    </w:p>
    <w:p w:rsidR="00FD0BC9" w:rsidRPr="00FD0BC9" w:rsidRDefault="00FD0BC9" w:rsidP="00FD0BC9">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4.3. </w:t>
      </w:r>
      <w:r w:rsidRPr="00FD0BC9">
        <w:rPr>
          <w:rFonts w:ascii="Garamond" w:eastAsia="Times New Roman" w:hAnsi="Garamond" w:cs="Times New Roman"/>
          <w:color w:val="000000" w:themeColor="text1"/>
          <w:lang w:eastAsia="pl-PL"/>
        </w:rPr>
        <w:t xml:space="preserve">Dotyczy części 2, 4 (poz. 1), </w:t>
      </w:r>
      <w:r w:rsidRPr="00FD0BC9">
        <w:rPr>
          <w:rFonts w:ascii="Garamond" w:eastAsia="Times New Roman" w:hAnsi="Garamond" w:cs="Times New Roman"/>
          <w:color w:val="000000" w:themeColor="text1"/>
          <w:u w:val="single"/>
          <w:lang w:eastAsia="pl-PL"/>
        </w:rPr>
        <w:t>6</w:t>
      </w:r>
      <w:r w:rsidRPr="00FD0BC9">
        <w:rPr>
          <w:rFonts w:ascii="Garamond" w:eastAsia="Times New Roman" w:hAnsi="Garamond" w:cs="Times New Roman"/>
          <w:color w:val="000000" w:themeColor="text1"/>
          <w:lang w:eastAsia="pl-PL"/>
        </w:rPr>
        <w:t xml:space="preserve">-8: W ramach realizacji umowy wykonawca zobowiązany będzie do utworzenia magazynu u Zamawiającego (magazynu komisowego/depozytowego) w NSSU przy ul. Jakubowskiego 2 w Krakowie, na zasadach określonych we wzorze umowy (załącznik nr 3 do SWZ) w miejscu wskazanym przez Zamawiającego. </w:t>
      </w:r>
    </w:p>
    <w:p w:rsidR="00FD0BC9" w:rsidRPr="00FD0BC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Dostawy odbywać się będą na podstawie zamówień do Magazynu (magazynu komisowego/depozytowego) Zamawiającego przy ul. Jakubowskiego 2 w Krakowie (którego lokalizację wskaże Zamawiający), w terminie do 2 dni roboczych od dnia złożenia zamówienia (w przypadku zgłoszenia zapotrzebowania - zamówienia w dni wolne od pracy termin dostawy może przesunąć się do 2 dni liczonych od pierwszego dnia roboczego następującego bezpośrednio po dniu wolnym), stosownym transportem i na koszt Wykonawcy.</w:t>
      </w:r>
    </w:p>
    <w:p w:rsidR="00FD0BC9" w:rsidRPr="00FD0BC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ab/>
      </w:r>
    </w:p>
    <w:p w:rsidR="00FD0BC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Wymagane są następujące ilości w magazynie (części i pozycje w tabeli poniżej odpowiadają częściom i pozycjom z zał. nr 1a do SWZ):</w:t>
      </w:r>
    </w:p>
    <w:p w:rsidR="00FD0BC9" w:rsidRDefault="00FD0BC9" w:rsidP="00FD0BC9">
      <w:pPr>
        <w:spacing w:after="0" w:line="240" w:lineRule="auto"/>
        <w:jc w:val="both"/>
        <w:rPr>
          <w:rFonts w:ascii="Garamond" w:eastAsia="Times New Roman" w:hAnsi="Garamond" w:cs="Times New Roman"/>
          <w:color w:val="000000" w:themeColor="text1"/>
          <w:lang w:eastAsia="pl-PL"/>
        </w:rPr>
      </w:pPr>
    </w:p>
    <w:tbl>
      <w:tblPr>
        <w:tblW w:w="609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4536"/>
      </w:tblGrid>
      <w:tr w:rsidR="00FD0BC9" w:rsidRPr="00FD0BC9" w:rsidTr="000604CC">
        <w:trPr>
          <w:trHeight w:val="262"/>
        </w:trPr>
        <w:tc>
          <w:tcPr>
            <w:tcW w:w="1559" w:type="dxa"/>
            <w:shd w:val="clear" w:color="auto" w:fill="auto"/>
            <w:vAlign w:val="center"/>
            <w:hideMark/>
          </w:tcPr>
          <w:p w:rsidR="00FD0BC9" w:rsidRPr="00FD0BC9" w:rsidRDefault="00FD0BC9" w:rsidP="00FD0BC9">
            <w:pPr>
              <w:spacing w:after="0" w:line="240" w:lineRule="auto"/>
              <w:jc w:val="center"/>
              <w:rPr>
                <w:rFonts w:ascii="Garamond" w:eastAsia="Calibri" w:hAnsi="Garamond" w:cs="Calibri"/>
                <w:b/>
                <w:lang w:eastAsia="pl-PL"/>
              </w:rPr>
            </w:pPr>
            <w:r w:rsidRPr="00FD0BC9">
              <w:rPr>
                <w:rFonts w:ascii="Garamond" w:eastAsia="Calibri" w:hAnsi="Garamond" w:cs="Calibri"/>
                <w:b/>
                <w:lang w:eastAsia="pl-PL"/>
              </w:rPr>
              <w:t>Część</w:t>
            </w:r>
          </w:p>
        </w:tc>
        <w:tc>
          <w:tcPr>
            <w:tcW w:w="4536" w:type="dxa"/>
            <w:shd w:val="clear" w:color="auto" w:fill="auto"/>
            <w:vAlign w:val="center"/>
            <w:hideMark/>
          </w:tcPr>
          <w:p w:rsidR="00FD0BC9" w:rsidRPr="00FD0BC9" w:rsidRDefault="00FD0BC9" w:rsidP="00FD0BC9">
            <w:pPr>
              <w:spacing w:after="0" w:line="240" w:lineRule="auto"/>
              <w:jc w:val="center"/>
              <w:rPr>
                <w:rFonts w:ascii="Garamond" w:eastAsia="Calibri" w:hAnsi="Garamond" w:cs="Calibri"/>
                <w:b/>
                <w:lang w:eastAsia="pl-PL"/>
              </w:rPr>
            </w:pPr>
            <w:r w:rsidRPr="00FD0BC9">
              <w:rPr>
                <w:rFonts w:ascii="Garamond" w:eastAsia="Calibri" w:hAnsi="Garamond" w:cs="Calibri"/>
                <w:b/>
                <w:lang w:eastAsia="pl-PL"/>
              </w:rPr>
              <w:t>Ilość w magazynie</w:t>
            </w:r>
          </w:p>
        </w:tc>
      </w:tr>
      <w:tr w:rsidR="00FD0BC9" w:rsidRPr="00FD0BC9" w:rsidTr="000604CC">
        <w:trPr>
          <w:trHeight w:val="262"/>
        </w:trPr>
        <w:tc>
          <w:tcPr>
            <w:tcW w:w="1559"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b/>
                <w:bCs/>
                <w:lang w:eastAsia="pl-PL"/>
              </w:rPr>
            </w:pPr>
            <w:r w:rsidRPr="00FD0BC9">
              <w:rPr>
                <w:rFonts w:ascii="Garamond" w:eastAsia="Times New Roman" w:hAnsi="Garamond" w:cs="Calibri"/>
                <w:b/>
                <w:bCs/>
                <w:lang w:eastAsia="pl-PL"/>
              </w:rPr>
              <w:t>2</w:t>
            </w:r>
          </w:p>
        </w:tc>
        <w:tc>
          <w:tcPr>
            <w:tcW w:w="4536"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lang w:eastAsia="pl-PL"/>
              </w:rPr>
            </w:pPr>
            <w:r w:rsidRPr="00FD0BC9">
              <w:rPr>
                <w:rFonts w:ascii="Garamond" w:eastAsia="Times New Roman" w:hAnsi="Garamond" w:cs="Calibri"/>
                <w:lang w:eastAsia="pl-PL"/>
              </w:rPr>
              <w:t>1 sztuka</w:t>
            </w:r>
          </w:p>
        </w:tc>
      </w:tr>
      <w:tr w:rsidR="00FD0BC9" w:rsidRPr="00FD0BC9" w:rsidTr="000604CC">
        <w:trPr>
          <w:trHeight w:val="262"/>
        </w:trPr>
        <w:tc>
          <w:tcPr>
            <w:tcW w:w="1559"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b/>
                <w:bCs/>
                <w:lang w:eastAsia="pl-PL"/>
              </w:rPr>
            </w:pPr>
            <w:r w:rsidRPr="00FD0BC9">
              <w:rPr>
                <w:rFonts w:ascii="Garamond" w:eastAsia="Times New Roman" w:hAnsi="Garamond" w:cs="Calibri"/>
                <w:b/>
                <w:bCs/>
                <w:lang w:eastAsia="pl-PL"/>
              </w:rPr>
              <w:t>4 (poz. 1)</w:t>
            </w:r>
          </w:p>
        </w:tc>
        <w:tc>
          <w:tcPr>
            <w:tcW w:w="4536"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lang w:eastAsia="pl-PL"/>
              </w:rPr>
            </w:pPr>
            <w:r w:rsidRPr="00FD0BC9">
              <w:rPr>
                <w:rFonts w:ascii="Garamond" w:eastAsia="Times New Roman" w:hAnsi="Garamond" w:cs="Calibri"/>
                <w:lang w:eastAsia="pl-PL"/>
              </w:rPr>
              <w:t>150 sztuk (z poz. 1)</w:t>
            </w:r>
          </w:p>
        </w:tc>
      </w:tr>
      <w:tr w:rsidR="00FD0BC9" w:rsidRPr="00FD0BC9" w:rsidTr="000604CC">
        <w:trPr>
          <w:trHeight w:val="262"/>
        </w:trPr>
        <w:tc>
          <w:tcPr>
            <w:tcW w:w="1559"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b/>
                <w:bCs/>
                <w:lang w:eastAsia="pl-PL"/>
              </w:rPr>
            </w:pPr>
            <w:r w:rsidRPr="00FD0BC9">
              <w:rPr>
                <w:rFonts w:ascii="Garamond" w:eastAsia="Times New Roman" w:hAnsi="Garamond" w:cs="Calibri"/>
                <w:b/>
                <w:bCs/>
                <w:lang w:eastAsia="pl-PL"/>
              </w:rPr>
              <w:t>6</w:t>
            </w:r>
          </w:p>
        </w:tc>
        <w:tc>
          <w:tcPr>
            <w:tcW w:w="4536"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lang w:eastAsia="pl-PL"/>
              </w:rPr>
            </w:pPr>
            <w:r w:rsidRPr="00FD0BC9">
              <w:rPr>
                <w:rFonts w:ascii="Garamond" w:eastAsia="Times New Roman" w:hAnsi="Garamond" w:cs="Calibri"/>
                <w:lang w:eastAsia="pl-PL"/>
              </w:rPr>
              <w:t>Po 5 sztuk z każdej pozycji (tj. poz. 1-13)</w:t>
            </w:r>
          </w:p>
        </w:tc>
      </w:tr>
      <w:tr w:rsidR="00FD0BC9" w:rsidRPr="00FD0BC9" w:rsidTr="000604CC">
        <w:trPr>
          <w:trHeight w:val="262"/>
        </w:trPr>
        <w:tc>
          <w:tcPr>
            <w:tcW w:w="1559"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b/>
                <w:bCs/>
                <w:lang w:eastAsia="pl-PL"/>
              </w:rPr>
            </w:pPr>
            <w:r w:rsidRPr="00FD0BC9">
              <w:rPr>
                <w:rFonts w:ascii="Garamond" w:eastAsia="Times New Roman" w:hAnsi="Garamond" w:cs="Calibri"/>
                <w:b/>
                <w:bCs/>
                <w:lang w:eastAsia="pl-PL"/>
              </w:rPr>
              <w:t>7</w:t>
            </w:r>
          </w:p>
        </w:tc>
        <w:tc>
          <w:tcPr>
            <w:tcW w:w="4536"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lang w:eastAsia="pl-PL"/>
              </w:rPr>
            </w:pPr>
            <w:r w:rsidRPr="00FD0BC9">
              <w:rPr>
                <w:rFonts w:ascii="Garamond" w:eastAsia="Times New Roman" w:hAnsi="Garamond" w:cs="Calibri"/>
                <w:lang w:eastAsia="pl-PL"/>
              </w:rPr>
              <w:t>Po 3 sztuki z każdej pozycji (tj. poz. 1-7)</w:t>
            </w:r>
          </w:p>
        </w:tc>
      </w:tr>
      <w:tr w:rsidR="00FD0BC9" w:rsidRPr="00FD0BC9" w:rsidTr="000604CC">
        <w:trPr>
          <w:trHeight w:val="262"/>
        </w:trPr>
        <w:tc>
          <w:tcPr>
            <w:tcW w:w="1559"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b/>
                <w:bCs/>
                <w:lang w:eastAsia="pl-PL"/>
              </w:rPr>
            </w:pPr>
            <w:r w:rsidRPr="00FD0BC9">
              <w:rPr>
                <w:rFonts w:ascii="Garamond" w:eastAsia="Times New Roman" w:hAnsi="Garamond" w:cs="Calibri"/>
                <w:b/>
                <w:bCs/>
                <w:lang w:eastAsia="pl-PL"/>
              </w:rPr>
              <w:t>8</w:t>
            </w:r>
          </w:p>
        </w:tc>
        <w:tc>
          <w:tcPr>
            <w:tcW w:w="4536" w:type="dxa"/>
            <w:tcBorders>
              <w:top w:val="single" w:sz="4" w:space="0" w:color="auto"/>
              <w:left w:val="single" w:sz="4" w:space="0" w:color="auto"/>
              <w:bottom w:val="single" w:sz="4" w:space="0" w:color="auto"/>
              <w:right w:val="single" w:sz="4" w:space="0" w:color="auto"/>
            </w:tcBorders>
            <w:vAlign w:val="center"/>
          </w:tcPr>
          <w:p w:rsidR="00FD0BC9" w:rsidRPr="00FD0BC9" w:rsidRDefault="00FD0BC9" w:rsidP="00FD0BC9">
            <w:pPr>
              <w:spacing w:after="0" w:line="240" w:lineRule="auto"/>
              <w:jc w:val="center"/>
              <w:rPr>
                <w:rFonts w:ascii="Garamond" w:eastAsia="Times New Roman" w:hAnsi="Garamond" w:cs="Calibri"/>
                <w:lang w:eastAsia="pl-PL"/>
              </w:rPr>
            </w:pPr>
            <w:r w:rsidRPr="00FD0BC9">
              <w:rPr>
                <w:rFonts w:ascii="Garamond" w:eastAsia="Times New Roman" w:hAnsi="Garamond" w:cs="Calibri"/>
                <w:lang w:eastAsia="pl-PL"/>
              </w:rPr>
              <w:t>Po 2 sztuki z poz. 1, 5, 7, 9</w:t>
            </w:r>
          </w:p>
          <w:p w:rsidR="00FD0BC9" w:rsidRPr="00FD0BC9" w:rsidRDefault="00FD0BC9" w:rsidP="00FD0BC9">
            <w:pPr>
              <w:spacing w:after="0" w:line="240" w:lineRule="auto"/>
              <w:jc w:val="center"/>
              <w:rPr>
                <w:rFonts w:ascii="Garamond" w:eastAsia="Times New Roman" w:hAnsi="Garamond" w:cs="Calibri"/>
                <w:lang w:eastAsia="pl-PL"/>
              </w:rPr>
            </w:pPr>
            <w:r w:rsidRPr="00FD0BC9">
              <w:rPr>
                <w:rFonts w:ascii="Garamond" w:eastAsia="Times New Roman" w:hAnsi="Garamond" w:cs="Calibri"/>
                <w:lang w:eastAsia="pl-PL"/>
              </w:rPr>
              <w:t>Po 3 sztuki z poz. 2, 3</w:t>
            </w:r>
          </w:p>
          <w:p w:rsidR="00FD0BC9" w:rsidRPr="00FD0BC9" w:rsidRDefault="00FD0BC9" w:rsidP="00FD0BC9">
            <w:pPr>
              <w:spacing w:after="0" w:line="240" w:lineRule="auto"/>
              <w:jc w:val="center"/>
              <w:rPr>
                <w:rFonts w:ascii="Garamond" w:eastAsia="Times New Roman" w:hAnsi="Garamond" w:cs="Calibri"/>
                <w:lang w:eastAsia="pl-PL"/>
              </w:rPr>
            </w:pPr>
            <w:r w:rsidRPr="00FD0BC9">
              <w:rPr>
                <w:rFonts w:ascii="Garamond" w:eastAsia="Times New Roman" w:hAnsi="Garamond" w:cs="Calibri"/>
                <w:lang w:eastAsia="pl-PL"/>
              </w:rPr>
              <w:t>Po 1 sztuce z poz. 4, 6, 8, 10-15</w:t>
            </w:r>
            <w:r>
              <w:rPr>
                <w:rFonts w:ascii="Garamond" w:eastAsia="Times New Roman" w:hAnsi="Garamond" w:cs="Calibri"/>
                <w:lang w:eastAsia="pl-PL"/>
              </w:rPr>
              <w:t xml:space="preserve"> ”</w:t>
            </w:r>
          </w:p>
        </w:tc>
      </w:tr>
    </w:tbl>
    <w:p w:rsidR="00FD0BC9" w:rsidRDefault="00FD0BC9" w:rsidP="00FD0BC9">
      <w:pPr>
        <w:spacing w:after="0" w:line="240" w:lineRule="auto"/>
        <w:jc w:val="both"/>
        <w:rPr>
          <w:rFonts w:ascii="Garamond" w:eastAsia="Times New Roman" w:hAnsi="Garamond" w:cs="Times New Roman"/>
          <w:color w:val="000000" w:themeColor="text1"/>
          <w:lang w:eastAsia="pl-PL"/>
        </w:rPr>
      </w:pPr>
    </w:p>
    <w:p w:rsidR="00FD0BC9" w:rsidRDefault="00FD0BC9" w:rsidP="00FD0BC9">
      <w:pPr>
        <w:spacing w:after="0" w:line="240" w:lineRule="auto"/>
        <w:jc w:val="both"/>
        <w:rPr>
          <w:rFonts w:ascii="Garamond" w:eastAsia="Times New Roman" w:hAnsi="Garamond" w:cs="Times New Roman"/>
          <w:color w:val="000000" w:themeColor="text1"/>
          <w:lang w:eastAsia="pl-PL"/>
        </w:rPr>
      </w:pPr>
      <w:r w:rsidRPr="00541C06">
        <w:rPr>
          <w:rFonts w:ascii="Garamond" w:eastAsia="Times New Roman" w:hAnsi="Garamond" w:cs="Times New Roman"/>
          <w:color w:val="000000" w:themeColor="text1"/>
          <w:lang w:eastAsia="pl-PL"/>
        </w:rPr>
        <w:t>- zmianie ulegają postanowienia wzoru umowy</w:t>
      </w:r>
      <w:r w:rsidR="0062366F">
        <w:rPr>
          <w:rFonts w:ascii="Garamond" w:eastAsia="Times New Roman" w:hAnsi="Garamond" w:cs="Times New Roman"/>
          <w:color w:val="000000" w:themeColor="text1"/>
          <w:lang w:eastAsia="pl-PL"/>
        </w:rPr>
        <w:t xml:space="preserve"> (załącznik nr 3 do SWZ)</w:t>
      </w:r>
      <w:bookmarkStart w:id="0" w:name="_GoBack"/>
      <w:bookmarkEnd w:id="0"/>
      <w:r w:rsidRPr="00541C06">
        <w:rPr>
          <w:rFonts w:ascii="Garamond" w:eastAsia="Times New Roman" w:hAnsi="Garamond" w:cs="Times New Roman"/>
          <w:color w:val="000000" w:themeColor="text1"/>
          <w:lang w:eastAsia="pl-PL"/>
        </w:rPr>
        <w:t xml:space="preserve"> </w:t>
      </w:r>
      <w:r w:rsidR="00541C06" w:rsidRPr="00541C06">
        <w:rPr>
          <w:rFonts w:ascii="Garamond" w:eastAsia="Times New Roman" w:hAnsi="Garamond" w:cs="Times New Roman"/>
          <w:color w:val="000000" w:themeColor="text1"/>
          <w:lang w:eastAsia="pl-PL"/>
        </w:rPr>
        <w:t>w zakresie § 3, § 4 ust. 2 oraz § 7 ust. 2 pkt 1 zgodnie z ich nowym brzmien</w:t>
      </w:r>
      <w:r w:rsidR="00541C06">
        <w:rPr>
          <w:rFonts w:ascii="Garamond" w:eastAsia="Times New Roman" w:hAnsi="Garamond" w:cs="Times New Roman"/>
          <w:color w:val="000000" w:themeColor="text1"/>
          <w:lang w:eastAsia="pl-PL"/>
        </w:rPr>
        <w:t>iem przedstawionym w załączeniu wzorze umowy.</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p>
    <w:p w:rsidR="009A2869" w:rsidRPr="009A2869" w:rsidRDefault="009A2869" w:rsidP="009A2869">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5</w:t>
      </w:r>
    </w:p>
    <w:p w:rsidR="009A2869" w:rsidRP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Dotyczy pakietu nr 6</w:t>
      </w:r>
    </w:p>
    <w:p w:rsidR="009A2869" w:rsidRDefault="009A2869" w:rsidP="009A2869">
      <w:pPr>
        <w:spacing w:after="0" w:line="240" w:lineRule="auto"/>
        <w:jc w:val="both"/>
        <w:rPr>
          <w:rFonts w:ascii="Garamond" w:eastAsia="Times New Roman" w:hAnsi="Garamond" w:cs="Times New Roman"/>
          <w:color w:val="000000" w:themeColor="text1"/>
          <w:lang w:eastAsia="pl-PL"/>
        </w:rPr>
      </w:pPr>
      <w:r w:rsidRPr="009A2869">
        <w:rPr>
          <w:rFonts w:ascii="Garamond" w:eastAsia="Times New Roman" w:hAnsi="Garamond" w:cs="Times New Roman"/>
          <w:color w:val="000000" w:themeColor="text1"/>
          <w:lang w:eastAsia="pl-PL"/>
        </w:rPr>
        <w:t>Czy Zamawiający wyrazi zgodę na ustalenie ostatecznego kształt i zakresu depozytu po zawarciu umowy w porozumieniu z docelowym użytkownikiem dla Pakietu 6?</w:t>
      </w:r>
    </w:p>
    <w:p w:rsidR="009A2869" w:rsidRDefault="009A2869" w:rsidP="009A2869">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9A2869" w:rsidRDefault="009A2869" w:rsidP="009A2869">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w:t>
      </w:r>
      <w:r w:rsidRPr="009A2869">
        <w:rPr>
          <w:rFonts w:ascii="Garamond" w:eastAsia="Times New Roman" w:hAnsi="Garamond" w:cs="Times New Roman"/>
          <w:color w:val="000000" w:themeColor="text1"/>
          <w:lang w:eastAsia="pl-PL"/>
        </w:rPr>
        <w:t>cy nie wyraża zgody.</w:t>
      </w:r>
    </w:p>
    <w:p w:rsidR="009A2869" w:rsidRDefault="009A2869" w:rsidP="001F0062">
      <w:pPr>
        <w:spacing w:after="0" w:line="240" w:lineRule="auto"/>
        <w:jc w:val="both"/>
        <w:rPr>
          <w:rFonts w:ascii="Garamond" w:eastAsia="Times New Roman" w:hAnsi="Garamond" w:cs="Times New Roman"/>
          <w:color w:val="000000" w:themeColor="text1"/>
          <w:lang w:eastAsia="pl-PL"/>
        </w:rPr>
      </w:pPr>
    </w:p>
    <w:p w:rsidR="00FD0BC9" w:rsidRPr="009A2869" w:rsidRDefault="00FD0BC9" w:rsidP="00FD0BC9">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lastRenderedPageBreak/>
        <w:t xml:space="preserve">Pytanie </w:t>
      </w:r>
      <w:r>
        <w:rPr>
          <w:rFonts w:ascii="Garamond" w:eastAsia="Times New Roman" w:hAnsi="Garamond" w:cs="Times New Roman"/>
          <w:b/>
          <w:bCs/>
          <w:color w:val="000000" w:themeColor="text1"/>
          <w:lang w:eastAsia="pl-PL"/>
        </w:rPr>
        <w:t>6</w:t>
      </w:r>
    </w:p>
    <w:p w:rsidR="00FD0BC9" w:rsidRPr="00FD0BC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Czy Zamawiający wyraża zgodę na doprecyzowanie postanowień projektu umowy stanowiącego</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załącznik nr 3 do SWZ („Umowa”) w zakresie § 4b ust. 8 poprzez nadanie mu następującego bądź</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zbliżonego brzmienia:</w:t>
      </w:r>
    </w:p>
    <w:p w:rsidR="004F15AB"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W zakresie realizacji ust. 7, wniosek wraz ze stosownym aneksem Szpital Uniwersytecki prześle na adres</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Wykonawcy. Wraz z wnioskiem Szpital Uniwersytecki zobowiązany jest przedstawić Wykonawcy</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szczegółową kalkulację obniżenia kosztów Wykonawcy wraz ze stosownymi obliczeniami i</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uzasadnieniem. Brak przedłożenia przez Szpital Uniwersytecki szczegółowej kalkulacji kosztów w</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terminie 30 dni od daty złożenia wniosku powoduje pozostawienie wniosku bez rozpatrzenia.</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Wykonawca zobowiązuje się do podpisania aneksu, w terminie 14 dni od otrzymania wniosku wraz z</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właściwym uzasadnieniem.</w:t>
      </w:r>
    </w:p>
    <w:p w:rsidR="00FD0BC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Przedmiotowa modyfikacja ma na celu ujednolicenie praw i obowiązków stron w zakresie waloryzacji –</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co następuje poprzez zastrzeżenie dla Zamawiającego obowiązków analogicznych do obowiązków</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Wykonawcy wskazanych w § 4b ust. 4 Umowy.</w:t>
      </w:r>
    </w:p>
    <w:p w:rsidR="00FD0BC9" w:rsidRDefault="00FD0BC9" w:rsidP="00FD0BC9">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541C06" w:rsidRDefault="00541C06" w:rsidP="00541C0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Zamawiający nie wyraża zgody. Wzór umowy pozostaje bez zmian.</w:t>
      </w:r>
    </w:p>
    <w:p w:rsidR="00FD0BC9" w:rsidRPr="00FD0BC9" w:rsidRDefault="00FD0BC9" w:rsidP="00FD0BC9">
      <w:pPr>
        <w:spacing w:after="0" w:line="240" w:lineRule="auto"/>
        <w:jc w:val="both"/>
        <w:rPr>
          <w:rFonts w:ascii="Garamond" w:eastAsia="Times New Roman" w:hAnsi="Garamond" w:cs="Times New Roman"/>
          <w:color w:val="000000" w:themeColor="text1"/>
          <w:lang w:eastAsia="pl-PL"/>
        </w:rPr>
      </w:pPr>
    </w:p>
    <w:p w:rsidR="00FD0BC9" w:rsidRPr="009A2869" w:rsidRDefault="00FD0BC9" w:rsidP="00FD0BC9">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7</w:t>
      </w:r>
    </w:p>
    <w:p w:rsidR="00FD0BC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Czy Zamawiający wyraża zgodę na to, by Wykonawca przekazujący faktury za pośrednictwem PEF, nie</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był zobligowany do przekazywania faktur w inny sposób.</w:t>
      </w:r>
    </w:p>
    <w:p w:rsidR="00FD0BC9" w:rsidRDefault="00FD0BC9" w:rsidP="00FD0BC9">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541C06" w:rsidRDefault="00541C06" w:rsidP="00541C0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wskazuje, iż zgodnie z </w:t>
      </w:r>
      <w:r w:rsidRPr="004D2FD4">
        <w:rPr>
          <w:rFonts w:ascii="Garamond" w:eastAsia="Times New Roman" w:hAnsi="Garamond" w:cs="Times New Roman"/>
          <w:color w:val="000000" w:themeColor="text1"/>
          <w:lang w:eastAsia="pl-PL"/>
        </w:rPr>
        <w:t>§ 4</w:t>
      </w:r>
      <w:r>
        <w:rPr>
          <w:rFonts w:ascii="Garamond" w:eastAsia="Times New Roman" w:hAnsi="Garamond" w:cs="Times New Roman"/>
          <w:color w:val="000000" w:themeColor="text1"/>
          <w:lang w:eastAsia="pl-PL"/>
        </w:rPr>
        <w:t xml:space="preserve"> ust. 2 Umowy, Wykonawca zobowiązuje się dostarczyć fakturę w wersji papierowej albo elektronicznej, w związku z czym przekazując fakturę za pośrednictwem PEF, Wykonawca nie jest zobligowany do przekazywania faktury w inny sposób.</w:t>
      </w:r>
    </w:p>
    <w:p w:rsidR="009A2869" w:rsidRDefault="009A2869" w:rsidP="001F0062">
      <w:pPr>
        <w:spacing w:after="0" w:line="240" w:lineRule="auto"/>
        <w:jc w:val="both"/>
        <w:rPr>
          <w:rFonts w:ascii="Garamond" w:eastAsia="Times New Roman" w:hAnsi="Garamond" w:cs="Times New Roman"/>
          <w:color w:val="000000" w:themeColor="text1"/>
          <w:lang w:eastAsia="pl-PL"/>
        </w:rPr>
      </w:pPr>
    </w:p>
    <w:p w:rsidR="00FD0BC9" w:rsidRPr="009A2869" w:rsidRDefault="00FD0BC9" w:rsidP="00FD0BC9">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8</w:t>
      </w:r>
    </w:p>
    <w:p w:rsidR="009A2869" w:rsidRDefault="00FD0BC9" w:rsidP="00FD0BC9">
      <w:pPr>
        <w:spacing w:after="0" w:line="240" w:lineRule="auto"/>
        <w:jc w:val="both"/>
        <w:rPr>
          <w:rFonts w:ascii="Garamond" w:eastAsia="Times New Roman" w:hAnsi="Garamond" w:cs="Times New Roman"/>
          <w:color w:val="000000" w:themeColor="text1"/>
          <w:lang w:eastAsia="pl-PL"/>
        </w:rPr>
      </w:pPr>
      <w:r w:rsidRPr="00FD0BC9">
        <w:rPr>
          <w:rFonts w:ascii="Garamond" w:eastAsia="Times New Roman" w:hAnsi="Garamond" w:cs="Times New Roman"/>
          <w:color w:val="000000" w:themeColor="text1"/>
          <w:lang w:eastAsia="pl-PL"/>
        </w:rPr>
        <w:t>Czy Zamawiający wyraża zgodę na modyfikację § 4b ust. 7 zdanie 2 poprzez nadanie mu następującego</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lub zbliżonego brzmienia: „Strony mogą podpisać stosowny aneks w terminie 14 od otrzymania aneksu</w:t>
      </w:r>
      <w:r w:rsidR="004F15AB">
        <w:rPr>
          <w:rFonts w:ascii="Garamond" w:eastAsia="Times New Roman" w:hAnsi="Garamond" w:cs="Times New Roman"/>
          <w:color w:val="000000" w:themeColor="text1"/>
          <w:lang w:eastAsia="pl-PL"/>
        </w:rPr>
        <w:t xml:space="preserve"> </w:t>
      </w:r>
      <w:r w:rsidRPr="00FD0BC9">
        <w:rPr>
          <w:rFonts w:ascii="Garamond" w:eastAsia="Times New Roman" w:hAnsi="Garamond" w:cs="Times New Roman"/>
          <w:color w:val="000000" w:themeColor="text1"/>
          <w:lang w:eastAsia="pl-PL"/>
        </w:rPr>
        <w:t>od jednej ze Stron”.</w:t>
      </w:r>
    </w:p>
    <w:p w:rsidR="00FD0BC9" w:rsidRDefault="00FD0BC9" w:rsidP="00FD0BC9">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rsidR="00541C06" w:rsidRDefault="00541C06" w:rsidP="00541C06">
      <w:pPr>
        <w:spacing w:after="0" w:line="240" w:lineRule="auto"/>
        <w:jc w:val="both"/>
        <w:rPr>
          <w:rFonts w:ascii="Garamond" w:eastAsia="Times New Roman" w:hAnsi="Garamond" w:cs="Times New Roman"/>
          <w:color w:val="000000" w:themeColor="text1"/>
          <w:lang w:eastAsia="pl-PL"/>
        </w:rPr>
      </w:pPr>
      <w:r w:rsidRPr="00CC3F60">
        <w:rPr>
          <w:rFonts w:ascii="Garamond" w:eastAsia="Times New Roman" w:hAnsi="Garamond" w:cs="Times New Roman"/>
          <w:color w:val="000000" w:themeColor="text1"/>
          <w:lang w:eastAsia="pl-PL"/>
        </w:rPr>
        <w:t>Zamawiający nie wyraża zgody. Wzór umowy pozostaje bez zmian.</w:t>
      </w:r>
    </w:p>
    <w:p w:rsidR="009A2869" w:rsidRDefault="009A2869" w:rsidP="001F0062">
      <w:pPr>
        <w:spacing w:after="0" w:line="240" w:lineRule="auto"/>
        <w:jc w:val="both"/>
        <w:rPr>
          <w:rFonts w:ascii="Garamond" w:eastAsia="Times New Roman" w:hAnsi="Garamond" w:cs="Times New Roman"/>
          <w:color w:val="000000" w:themeColor="text1"/>
          <w:lang w:eastAsia="pl-PL"/>
        </w:rPr>
      </w:pPr>
    </w:p>
    <w:p w:rsidR="009A2869" w:rsidRDefault="009A2869" w:rsidP="001F0062">
      <w:pPr>
        <w:spacing w:after="0" w:line="240" w:lineRule="auto"/>
        <w:jc w:val="both"/>
        <w:rPr>
          <w:rFonts w:ascii="Garamond" w:eastAsia="Times New Roman" w:hAnsi="Garamond" w:cs="Times New Roman"/>
          <w:color w:val="000000" w:themeColor="text1"/>
          <w:lang w:eastAsia="pl-PL"/>
        </w:rPr>
      </w:pPr>
    </w:p>
    <w:p w:rsidR="009A2869" w:rsidRDefault="009A2869" w:rsidP="001F0062">
      <w:pPr>
        <w:spacing w:after="0" w:line="240" w:lineRule="auto"/>
        <w:jc w:val="both"/>
        <w:rPr>
          <w:rFonts w:ascii="Garamond" w:eastAsia="Times New Roman" w:hAnsi="Garamond" w:cs="Times New Roman"/>
          <w:color w:val="000000" w:themeColor="text1"/>
          <w:lang w:eastAsia="pl-PL"/>
        </w:rPr>
      </w:pPr>
    </w:p>
    <w:p w:rsidR="001F0062" w:rsidRPr="001F0062" w:rsidRDefault="001F0062" w:rsidP="00541C06">
      <w:pPr>
        <w:spacing w:after="0" w:line="240" w:lineRule="auto"/>
        <w:ind w:firstLine="708"/>
        <w:jc w:val="both"/>
        <w:rPr>
          <w:rFonts w:ascii="Garamond" w:eastAsia="Times New Roman" w:hAnsi="Garamond" w:cs="Times New Roman"/>
          <w:color w:val="000000" w:themeColor="text1"/>
          <w:lang w:eastAsia="pl-PL"/>
        </w:rPr>
      </w:pPr>
      <w:r w:rsidRPr="00541C06">
        <w:rPr>
          <w:rFonts w:ascii="Garamond" w:eastAsia="Times New Roman" w:hAnsi="Garamond" w:cs="Times New Roman"/>
          <w:color w:val="000000" w:themeColor="text1"/>
          <w:lang w:eastAsia="pl-PL"/>
        </w:rPr>
        <w:t>W załączeniu przekazuję załącznik nr 3 do</w:t>
      </w:r>
      <w:r w:rsidR="00541C06" w:rsidRPr="00541C06">
        <w:rPr>
          <w:rFonts w:ascii="Garamond" w:eastAsia="Times New Roman" w:hAnsi="Garamond" w:cs="Times New Roman"/>
          <w:color w:val="000000" w:themeColor="text1"/>
          <w:lang w:eastAsia="pl-PL"/>
        </w:rPr>
        <w:t xml:space="preserve"> SWZ (wzór umowy) uwzględniający</w:t>
      </w:r>
      <w:r w:rsidRPr="00541C06">
        <w:rPr>
          <w:rFonts w:ascii="Garamond" w:eastAsia="Times New Roman" w:hAnsi="Garamond" w:cs="Times New Roman"/>
          <w:color w:val="000000" w:themeColor="text1"/>
          <w:lang w:eastAsia="pl-PL"/>
        </w:rPr>
        <w:t xml:space="preserve"> powyżej przedstawione odpowiedzi oraz wprowadzone zmiany.</w:t>
      </w:r>
    </w:p>
    <w:p w:rsidR="001F0062" w:rsidRPr="00E85E7C" w:rsidRDefault="001F0062" w:rsidP="00324A41">
      <w:pPr>
        <w:spacing w:after="0" w:line="240" w:lineRule="auto"/>
        <w:jc w:val="both"/>
        <w:rPr>
          <w:rFonts w:ascii="Garamond" w:eastAsia="Times New Roman" w:hAnsi="Garamond" w:cs="Times New Roman"/>
          <w:color w:val="000000" w:themeColor="text1"/>
          <w:lang w:eastAsia="pl-PL"/>
        </w:rPr>
      </w:pPr>
    </w:p>
    <w:sectPr w:rsidR="001F0062" w:rsidRPr="00E85E7C" w:rsidSect="007F15EE">
      <w:headerReference w:type="default" r:id="rId11"/>
      <w:footerReference w:type="default" r:id="rId12"/>
      <w:footnotePr>
        <w:numStart w:val="6"/>
      </w:footnotePr>
      <w:pgSz w:w="11906" w:h="16838"/>
      <w:pgMar w:top="212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C1" w:rsidRDefault="00D47AC1" w:rsidP="00E22E7B">
      <w:pPr>
        <w:spacing w:after="0" w:line="240" w:lineRule="auto"/>
      </w:pPr>
      <w:r>
        <w:separator/>
      </w:r>
    </w:p>
  </w:endnote>
  <w:endnote w:type="continuationSeparator" w:id="0">
    <w:p w:rsidR="00D47AC1" w:rsidRDefault="00D47AC1"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C1" w:rsidRDefault="00D47AC1" w:rsidP="00E22E7B">
      <w:pPr>
        <w:spacing w:after="0" w:line="240" w:lineRule="auto"/>
      </w:pPr>
      <w:r>
        <w:separator/>
      </w:r>
    </w:p>
  </w:footnote>
  <w:footnote w:type="continuationSeparator" w:id="0">
    <w:p w:rsidR="00D47AC1" w:rsidRDefault="00D47AC1"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56CAC3D8" wp14:editId="3BC81620">
          <wp:extent cx="1760220" cy="952500"/>
          <wp:effectExtent l="0" t="0" r="0" b="0"/>
          <wp:docPr id="4" name="Obraz 4"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5" w15:restartNumberingAfterBreak="0">
    <w:nsid w:val="4CAF24AB"/>
    <w:multiLevelType w:val="hybridMultilevel"/>
    <w:tmpl w:val="1C30C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27052"/>
    <w:rsid w:val="0003360C"/>
    <w:rsid w:val="000456B6"/>
    <w:rsid w:val="000463E5"/>
    <w:rsid w:val="00046AAB"/>
    <w:rsid w:val="0005276B"/>
    <w:rsid w:val="00056A8A"/>
    <w:rsid w:val="00071EB1"/>
    <w:rsid w:val="00073F20"/>
    <w:rsid w:val="00074020"/>
    <w:rsid w:val="00085E8B"/>
    <w:rsid w:val="000932C3"/>
    <w:rsid w:val="000A2A8A"/>
    <w:rsid w:val="000A351A"/>
    <w:rsid w:val="000A3CFF"/>
    <w:rsid w:val="000A50E1"/>
    <w:rsid w:val="000B2E90"/>
    <w:rsid w:val="000B5FCC"/>
    <w:rsid w:val="000C3A86"/>
    <w:rsid w:val="000D31F6"/>
    <w:rsid w:val="000D4091"/>
    <w:rsid w:val="000D6E99"/>
    <w:rsid w:val="000E02FC"/>
    <w:rsid w:val="000E361D"/>
    <w:rsid w:val="000E40C0"/>
    <w:rsid w:val="000E40F6"/>
    <w:rsid w:val="000E50E1"/>
    <w:rsid w:val="00100EE6"/>
    <w:rsid w:val="001113A5"/>
    <w:rsid w:val="00116188"/>
    <w:rsid w:val="00117D69"/>
    <w:rsid w:val="00130AC1"/>
    <w:rsid w:val="00131A66"/>
    <w:rsid w:val="001349BE"/>
    <w:rsid w:val="001369B1"/>
    <w:rsid w:val="00142013"/>
    <w:rsid w:val="00150773"/>
    <w:rsid w:val="001514F3"/>
    <w:rsid w:val="00153564"/>
    <w:rsid w:val="00156BB5"/>
    <w:rsid w:val="00160302"/>
    <w:rsid w:val="00165DD2"/>
    <w:rsid w:val="0017599F"/>
    <w:rsid w:val="001764D4"/>
    <w:rsid w:val="0018565E"/>
    <w:rsid w:val="0018594C"/>
    <w:rsid w:val="00186736"/>
    <w:rsid w:val="00197F7E"/>
    <w:rsid w:val="001A1E07"/>
    <w:rsid w:val="001A2069"/>
    <w:rsid w:val="001A51F6"/>
    <w:rsid w:val="001A528B"/>
    <w:rsid w:val="001B06E2"/>
    <w:rsid w:val="001B7FB1"/>
    <w:rsid w:val="001D6783"/>
    <w:rsid w:val="001E1866"/>
    <w:rsid w:val="001E23AA"/>
    <w:rsid w:val="001F0062"/>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55CC6"/>
    <w:rsid w:val="00262E5D"/>
    <w:rsid w:val="00264323"/>
    <w:rsid w:val="002651CD"/>
    <w:rsid w:val="002672D4"/>
    <w:rsid w:val="002711BC"/>
    <w:rsid w:val="00275A87"/>
    <w:rsid w:val="002826DA"/>
    <w:rsid w:val="00284B31"/>
    <w:rsid w:val="00284FD2"/>
    <w:rsid w:val="002866D1"/>
    <w:rsid w:val="002912EB"/>
    <w:rsid w:val="002A3523"/>
    <w:rsid w:val="002A364D"/>
    <w:rsid w:val="002A5FC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24A41"/>
    <w:rsid w:val="00330D12"/>
    <w:rsid w:val="00335AB9"/>
    <w:rsid w:val="00341319"/>
    <w:rsid w:val="00343F02"/>
    <w:rsid w:val="003471AC"/>
    <w:rsid w:val="0034780C"/>
    <w:rsid w:val="00352231"/>
    <w:rsid w:val="003536B2"/>
    <w:rsid w:val="00355107"/>
    <w:rsid w:val="003640FA"/>
    <w:rsid w:val="003652DC"/>
    <w:rsid w:val="003656FF"/>
    <w:rsid w:val="003714B9"/>
    <w:rsid w:val="00374C14"/>
    <w:rsid w:val="00375D3E"/>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0B71"/>
    <w:rsid w:val="004415EF"/>
    <w:rsid w:val="00443B98"/>
    <w:rsid w:val="00444438"/>
    <w:rsid w:val="00450FE0"/>
    <w:rsid w:val="00451107"/>
    <w:rsid w:val="00454A93"/>
    <w:rsid w:val="00456514"/>
    <w:rsid w:val="00456DF0"/>
    <w:rsid w:val="00457618"/>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ABE"/>
    <w:rsid w:val="004C0C91"/>
    <w:rsid w:val="004C19BB"/>
    <w:rsid w:val="004C317C"/>
    <w:rsid w:val="004C3EB3"/>
    <w:rsid w:val="004C4363"/>
    <w:rsid w:val="004C4CBF"/>
    <w:rsid w:val="004C5879"/>
    <w:rsid w:val="004D094A"/>
    <w:rsid w:val="004D57B8"/>
    <w:rsid w:val="004D69A5"/>
    <w:rsid w:val="004D7045"/>
    <w:rsid w:val="004E1A5F"/>
    <w:rsid w:val="004E6FEE"/>
    <w:rsid w:val="004F15AB"/>
    <w:rsid w:val="004F5198"/>
    <w:rsid w:val="005035AD"/>
    <w:rsid w:val="00503BCF"/>
    <w:rsid w:val="00504B1A"/>
    <w:rsid w:val="005106DB"/>
    <w:rsid w:val="00510F1A"/>
    <w:rsid w:val="005116BE"/>
    <w:rsid w:val="00513CEF"/>
    <w:rsid w:val="00515AD5"/>
    <w:rsid w:val="00516300"/>
    <w:rsid w:val="00522CBA"/>
    <w:rsid w:val="00525B05"/>
    <w:rsid w:val="00526555"/>
    <w:rsid w:val="00530392"/>
    <w:rsid w:val="00536C05"/>
    <w:rsid w:val="00541C06"/>
    <w:rsid w:val="0054674B"/>
    <w:rsid w:val="00546E51"/>
    <w:rsid w:val="005510CB"/>
    <w:rsid w:val="00556EC9"/>
    <w:rsid w:val="00557F7F"/>
    <w:rsid w:val="005611A3"/>
    <w:rsid w:val="00562581"/>
    <w:rsid w:val="00563796"/>
    <w:rsid w:val="005648AF"/>
    <w:rsid w:val="00566763"/>
    <w:rsid w:val="005716B9"/>
    <w:rsid w:val="0057617A"/>
    <w:rsid w:val="005761C7"/>
    <w:rsid w:val="00584A81"/>
    <w:rsid w:val="00587449"/>
    <w:rsid w:val="00590A18"/>
    <w:rsid w:val="00595C42"/>
    <w:rsid w:val="00596E26"/>
    <w:rsid w:val="00597B73"/>
    <w:rsid w:val="005A22C1"/>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66F"/>
    <w:rsid w:val="00623C4B"/>
    <w:rsid w:val="006262EB"/>
    <w:rsid w:val="00626B32"/>
    <w:rsid w:val="00627C46"/>
    <w:rsid w:val="006361F8"/>
    <w:rsid w:val="006432C0"/>
    <w:rsid w:val="00645051"/>
    <w:rsid w:val="0064588A"/>
    <w:rsid w:val="00651625"/>
    <w:rsid w:val="00651F7A"/>
    <w:rsid w:val="00656BE4"/>
    <w:rsid w:val="0065700D"/>
    <w:rsid w:val="00657975"/>
    <w:rsid w:val="00657A74"/>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10AA"/>
    <w:rsid w:val="0077330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5EE"/>
    <w:rsid w:val="007F1F87"/>
    <w:rsid w:val="007F208A"/>
    <w:rsid w:val="008042B2"/>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9540C"/>
    <w:rsid w:val="00896709"/>
    <w:rsid w:val="008A0AA4"/>
    <w:rsid w:val="008A350C"/>
    <w:rsid w:val="008A539D"/>
    <w:rsid w:val="008B3F2B"/>
    <w:rsid w:val="008B7F24"/>
    <w:rsid w:val="008C207B"/>
    <w:rsid w:val="008C3915"/>
    <w:rsid w:val="008C7C5F"/>
    <w:rsid w:val="008D09C9"/>
    <w:rsid w:val="008E09D3"/>
    <w:rsid w:val="008E2ED1"/>
    <w:rsid w:val="008E46B4"/>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2869"/>
    <w:rsid w:val="009A3FB6"/>
    <w:rsid w:val="009A40E0"/>
    <w:rsid w:val="009A57F4"/>
    <w:rsid w:val="009A5839"/>
    <w:rsid w:val="009A7688"/>
    <w:rsid w:val="009B074B"/>
    <w:rsid w:val="009B2CA2"/>
    <w:rsid w:val="009B3680"/>
    <w:rsid w:val="009C44B8"/>
    <w:rsid w:val="009D14D3"/>
    <w:rsid w:val="009D2A2E"/>
    <w:rsid w:val="009D599B"/>
    <w:rsid w:val="009D6975"/>
    <w:rsid w:val="009D69BB"/>
    <w:rsid w:val="009E4593"/>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26F69"/>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039C"/>
    <w:rsid w:val="00A94382"/>
    <w:rsid w:val="00A96DB5"/>
    <w:rsid w:val="00AA2535"/>
    <w:rsid w:val="00AA3D0C"/>
    <w:rsid w:val="00AA6CEE"/>
    <w:rsid w:val="00AB0F5C"/>
    <w:rsid w:val="00AB19CB"/>
    <w:rsid w:val="00AB3637"/>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4ED4"/>
    <w:rsid w:val="00B457AF"/>
    <w:rsid w:val="00B5084D"/>
    <w:rsid w:val="00B50D86"/>
    <w:rsid w:val="00B533CB"/>
    <w:rsid w:val="00B567B1"/>
    <w:rsid w:val="00B63144"/>
    <w:rsid w:val="00B66E1F"/>
    <w:rsid w:val="00B7461A"/>
    <w:rsid w:val="00B760A1"/>
    <w:rsid w:val="00B91716"/>
    <w:rsid w:val="00B9346B"/>
    <w:rsid w:val="00BA546C"/>
    <w:rsid w:val="00BB2E21"/>
    <w:rsid w:val="00BB477E"/>
    <w:rsid w:val="00BB5ADE"/>
    <w:rsid w:val="00BB5E28"/>
    <w:rsid w:val="00BC2123"/>
    <w:rsid w:val="00BC422C"/>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3CB7"/>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372"/>
    <w:rsid w:val="00CC4175"/>
    <w:rsid w:val="00CC51A8"/>
    <w:rsid w:val="00CD5492"/>
    <w:rsid w:val="00CD5B12"/>
    <w:rsid w:val="00CD747F"/>
    <w:rsid w:val="00CE0CE2"/>
    <w:rsid w:val="00CE2E08"/>
    <w:rsid w:val="00CF03BC"/>
    <w:rsid w:val="00CF13B9"/>
    <w:rsid w:val="00CF4284"/>
    <w:rsid w:val="00CF7044"/>
    <w:rsid w:val="00D03318"/>
    <w:rsid w:val="00D1379C"/>
    <w:rsid w:val="00D1579C"/>
    <w:rsid w:val="00D17C97"/>
    <w:rsid w:val="00D212C3"/>
    <w:rsid w:val="00D21996"/>
    <w:rsid w:val="00D22A1C"/>
    <w:rsid w:val="00D3796C"/>
    <w:rsid w:val="00D37A9A"/>
    <w:rsid w:val="00D40897"/>
    <w:rsid w:val="00D41B75"/>
    <w:rsid w:val="00D41E7A"/>
    <w:rsid w:val="00D43965"/>
    <w:rsid w:val="00D44DD9"/>
    <w:rsid w:val="00D45089"/>
    <w:rsid w:val="00D47AC1"/>
    <w:rsid w:val="00D511D6"/>
    <w:rsid w:val="00D51379"/>
    <w:rsid w:val="00D55BB9"/>
    <w:rsid w:val="00D57898"/>
    <w:rsid w:val="00D623CE"/>
    <w:rsid w:val="00D6402B"/>
    <w:rsid w:val="00D64532"/>
    <w:rsid w:val="00D67DF5"/>
    <w:rsid w:val="00D708FB"/>
    <w:rsid w:val="00D73047"/>
    <w:rsid w:val="00D74374"/>
    <w:rsid w:val="00D74CF8"/>
    <w:rsid w:val="00D756DB"/>
    <w:rsid w:val="00D7635D"/>
    <w:rsid w:val="00D76E1F"/>
    <w:rsid w:val="00D76F99"/>
    <w:rsid w:val="00D77324"/>
    <w:rsid w:val="00D83D22"/>
    <w:rsid w:val="00D8454F"/>
    <w:rsid w:val="00D856BD"/>
    <w:rsid w:val="00D875A6"/>
    <w:rsid w:val="00D876BE"/>
    <w:rsid w:val="00D87B78"/>
    <w:rsid w:val="00D915D0"/>
    <w:rsid w:val="00D92644"/>
    <w:rsid w:val="00D94DBA"/>
    <w:rsid w:val="00D9717D"/>
    <w:rsid w:val="00D977D1"/>
    <w:rsid w:val="00DA5168"/>
    <w:rsid w:val="00DA5F8F"/>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85E7C"/>
    <w:rsid w:val="00E9135A"/>
    <w:rsid w:val="00E95D18"/>
    <w:rsid w:val="00EA2693"/>
    <w:rsid w:val="00EA3DFE"/>
    <w:rsid w:val="00EA4061"/>
    <w:rsid w:val="00EA40AB"/>
    <w:rsid w:val="00EA479B"/>
    <w:rsid w:val="00EA4D92"/>
    <w:rsid w:val="00EB7BB0"/>
    <w:rsid w:val="00EC3E35"/>
    <w:rsid w:val="00EC4048"/>
    <w:rsid w:val="00EC5D0B"/>
    <w:rsid w:val="00ED1C22"/>
    <w:rsid w:val="00ED3B1F"/>
    <w:rsid w:val="00ED3CD7"/>
    <w:rsid w:val="00ED4082"/>
    <w:rsid w:val="00ED40A4"/>
    <w:rsid w:val="00ED46EC"/>
    <w:rsid w:val="00ED5CC7"/>
    <w:rsid w:val="00ED77E7"/>
    <w:rsid w:val="00ED7A9A"/>
    <w:rsid w:val="00EE09E4"/>
    <w:rsid w:val="00EE1EDD"/>
    <w:rsid w:val="00EE2A85"/>
    <w:rsid w:val="00EE3943"/>
    <w:rsid w:val="00EF2149"/>
    <w:rsid w:val="00EF2395"/>
    <w:rsid w:val="00EF43B5"/>
    <w:rsid w:val="00EF496A"/>
    <w:rsid w:val="00F015F7"/>
    <w:rsid w:val="00F02C8A"/>
    <w:rsid w:val="00F02F07"/>
    <w:rsid w:val="00F05CD4"/>
    <w:rsid w:val="00F06794"/>
    <w:rsid w:val="00F10E8F"/>
    <w:rsid w:val="00F26EC4"/>
    <w:rsid w:val="00F34666"/>
    <w:rsid w:val="00F35CA6"/>
    <w:rsid w:val="00F36E4E"/>
    <w:rsid w:val="00F43C22"/>
    <w:rsid w:val="00F47622"/>
    <w:rsid w:val="00F478CA"/>
    <w:rsid w:val="00F51F3E"/>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C625E"/>
    <w:rsid w:val="00FD0BC9"/>
    <w:rsid w:val="00FD31C0"/>
    <w:rsid w:val="00FD5A9E"/>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178C"/>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D12"/>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1A398D-FAEC-4537-AEA0-181B2962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1108</Words>
  <Characters>6650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8</cp:revision>
  <cp:lastPrinted>2023-06-30T12:48:00Z</cp:lastPrinted>
  <dcterms:created xsi:type="dcterms:W3CDTF">2023-10-24T08:06:00Z</dcterms:created>
  <dcterms:modified xsi:type="dcterms:W3CDTF">2023-10-24T11:09:00Z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