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1ED5F0BA" w14:textId="183FC23C" w:rsidR="00454182" w:rsidRPr="00883E61" w:rsidRDefault="00E66CD0" w:rsidP="00021799">
            <w:pPr>
              <w:spacing w:after="0"/>
              <w:outlineLvl w:val="5"/>
              <w:rPr>
                <w:rFonts w:ascii="Verdana" w:eastAsia="Times New Roman" w:hAnsi="Verdana" w:cs="Tahoma"/>
                <w:bCs/>
                <w:color w:val="auto"/>
                <w:szCs w:val="20"/>
              </w:rPr>
            </w:pPr>
            <w:r w:rsidRPr="00E66CD0">
              <w:rPr>
                <w:rFonts w:ascii="Verdana" w:eastAsia="Times New Roman" w:hAnsi="Verdana" w:cs="Tahoma"/>
                <w:bCs/>
                <w:color w:val="auto"/>
                <w:szCs w:val="20"/>
              </w:rPr>
              <w:t>SPZP.271.</w:t>
            </w:r>
            <w:r w:rsidR="004F6599">
              <w:rPr>
                <w:rFonts w:ascii="Verdana" w:eastAsia="Times New Roman" w:hAnsi="Verdana" w:cs="Tahoma"/>
                <w:bCs/>
                <w:color w:val="auto"/>
                <w:szCs w:val="20"/>
              </w:rPr>
              <w:t>6</w:t>
            </w:r>
            <w:r w:rsidR="00D229BC">
              <w:rPr>
                <w:rFonts w:ascii="Verdana" w:eastAsia="Times New Roman" w:hAnsi="Verdana" w:cs="Tahoma"/>
                <w:bCs/>
                <w:color w:val="auto"/>
                <w:szCs w:val="20"/>
              </w:rPr>
              <w:t>6</w:t>
            </w:r>
            <w:r w:rsidRPr="00E66CD0">
              <w:rPr>
                <w:rFonts w:ascii="Verdana" w:eastAsia="Times New Roman" w:hAnsi="Verdana" w:cs="Tahoma"/>
                <w:bCs/>
                <w:color w:val="auto"/>
                <w:szCs w:val="20"/>
              </w:rPr>
              <w:t>.2024</w:t>
            </w:r>
          </w:p>
        </w:tc>
      </w:tr>
    </w:tbl>
    <w:p w14:paraId="3B7EBEB7" w14:textId="540D4F6A"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BE2024">
        <w:rPr>
          <w:rFonts w:ascii="Verdana" w:eastAsia="Times New Roman" w:hAnsi="Verdana" w:cs="Tahoma"/>
          <w:b/>
          <w:color w:val="auto"/>
          <w:szCs w:val="20"/>
          <w:lang w:eastAsia="x-none"/>
        </w:rPr>
        <w:t>3</w:t>
      </w:r>
      <w:r w:rsidRPr="00883E61">
        <w:rPr>
          <w:rFonts w:ascii="Verdana" w:eastAsia="Times New Roman" w:hAnsi="Verdana" w:cs="Tahoma"/>
          <w:b/>
          <w:color w:val="auto"/>
          <w:szCs w:val="20"/>
          <w:lang w:eastAsia="x-none"/>
        </w:rPr>
        <w:t>/UZ</w:t>
      </w:r>
    </w:p>
    <w:p w14:paraId="08674761" w14:textId="5A578A1A" w:rsidR="00454182" w:rsidRPr="00883E61" w:rsidRDefault="00454182" w:rsidP="00454182">
      <w:pPr>
        <w:spacing w:after="0"/>
        <w:jc w:val="center"/>
        <w:rPr>
          <w:rFonts w:ascii="Verdana" w:hAnsi="Verdana" w:cs="Tahoma"/>
          <w:color w:val="auto"/>
          <w:szCs w:val="20"/>
        </w:rPr>
      </w:pPr>
      <w:r w:rsidRPr="00883E61">
        <w:rPr>
          <w:rFonts w:ascii="Verdana" w:hAnsi="Verdana" w:cs="Tahoma"/>
          <w:b/>
          <w:bCs/>
          <w:color w:val="auto"/>
          <w:szCs w:val="20"/>
        </w:rPr>
        <w:t xml:space="preserve">na </w:t>
      </w:r>
      <w:r w:rsidR="00D229BC">
        <w:rPr>
          <w:rFonts w:ascii="Verdana" w:hAnsi="Verdana" w:cs="Tahoma"/>
          <w:b/>
          <w:bCs/>
          <w:color w:val="auto"/>
          <w:szCs w:val="20"/>
        </w:rPr>
        <w:t>d</w:t>
      </w:r>
      <w:r w:rsidR="00D229BC" w:rsidRPr="00D229BC">
        <w:rPr>
          <w:rFonts w:ascii="Verdana" w:hAnsi="Verdana" w:cs="Tahoma"/>
          <w:b/>
          <w:bCs/>
          <w:color w:val="auto"/>
          <w:szCs w:val="20"/>
        </w:rPr>
        <w:t>ostaw</w:t>
      </w:r>
      <w:r w:rsidR="00D229BC">
        <w:rPr>
          <w:rFonts w:ascii="Verdana" w:hAnsi="Verdana" w:cs="Tahoma"/>
          <w:b/>
          <w:bCs/>
          <w:color w:val="auto"/>
          <w:szCs w:val="20"/>
        </w:rPr>
        <w:t>ę</w:t>
      </w:r>
      <w:r w:rsidR="00D229BC" w:rsidRPr="00D229BC">
        <w:rPr>
          <w:rFonts w:ascii="Verdana" w:hAnsi="Verdana" w:cs="Tahoma"/>
          <w:b/>
          <w:bCs/>
          <w:color w:val="auto"/>
          <w:szCs w:val="20"/>
        </w:rPr>
        <w:t xml:space="preserve"> odczynników do detekcji oraz diagnostyki na podstawie umowy ramowej</w:t>
      </w:r>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1A2772D9"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48DDDCD4"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D229BC" w:rsidRPr="00D229BC">
        <w:rPr>
          <w:rFonts w:ascii="Verdana" w:hAnsi="Verdana" w:cs="Tahoma"/>
          <w:color w:val="auto"/>
        </w:rPr>
        <w:t xml:space="preserve">odczynników do detekcji oraz diagnostyki </w:t>
      </w:r>
      <w:r w:rsidRPr="39548CC5">
        <w:rPr>
          <w:rFonts w:ascii="Verdana" w:hAnsi="Verdana" w:cs="Tahoma"/>
          <w:color w:val="auto"/>
        </w:rPr>
        <w:t xml:space="preserve">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E66CD0">
        <w:rPr>
          <w:rFonts w:ascii="Verdana" w:hAnsi="Verdana" w:cs="Tahoma"/>
          <w:color w:val="auto"/>
        </w:rPr>
        <w:t xml:space="preserve">12 miesięcy </w:t>
      </w:r>
      <w:r w:rsidRPr="00E66CD0">
        <w:rPr>
          <w:rFonts w:ascii="Verdana" w:hAnsi="Verdana" w:cs="Tahoma"/>
          <w:color w:val="auto"/>
        </w:rPr>
        <w:t>od dnia zawarcia Umow</w:t>
      </w:r>
      <w:r w:rsidR="00E66CD0" w:rsidRPr="00E66CD0">
        <w:rPr>
          <w:rFonts w:ascii="Verdana" w:hAnsi="Verdana" w:cs="Tahoma"/>
          <w:color w:val="auto"/>
        </w:rPr>
        <w:t>y</w:t>
      </w:r>
      <w:r w:rsidR="00E66CD0">
        <w:rPr>
          <w:rFonts w:ascii="Verdana" w:hAnsi="Verdana" w:cs="Tahoma"/>
          <w:i/>
          <w:iCs/>
          <w:color w:val="auto"/>
        </w:rPr>
        <w:t xml:space="preserve"> </w:t>
      </w:r>
      <w:r w:rsidRPr="39548CC5">
        <w:rPr>
          <w:rFonts w:ascii="Verdana" w:hAnsi="Verdana" w:cs="Tahoma"/>
          <w:color w:val="auto"/>
        </w:rPr>
        <w:t xml:space="preserve"> 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799840AB"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D229BC" w:rsidRPr="00D229BC">
        <w:rPr>
          <w:rFonts w:ascii="Verdana" w:hAnsi="Verdana" w:cs="Tahoma"/>
          <w:color w:val="auto"/>
          <w:szCs w:val="20"/>
        </w:rPr>
        <w:t xml:space="preserve">odczynników do detekcji oraz diagnostyki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0"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0"/>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 xml:space="preserve">Zamawiający udzieli Zamówień na dostawy Materiałów objętych </w:t>
      </w:r>
      <w:r w:rsidRPr="00883E61">
        <w:rPr>
          <w:rFonts w:ascii="Verdana" w:hAnsi="Verdana" w:cs="Tahoma"/>
          <w:color w:val="auto"/>
          <w:sz w:val="20"/>
          <w:szCs w:val="20"/>
        </w:rPr>
        <w:lastRenderedPageBreak/>
        <w:t>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lastRenderedPageBreak/>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w:t>
      </w:r>
      <w:r w:rsidRPr="00883E61">
        <w:rPr>
          <w:rFonts w:ascii="Verdana" w:eastAsia="Times New Roman" w:hAnsi="Verdana" w:cs="Tahoma"/>
          <w:color w:val="auto"/>
          <w:szCs w:val="20"/>
          <w:lang w:eastAsia="pl-PL"/>
        </w:rPr>
        <w:lastRenderedPageBreak/>
        <w:t>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t>
      </w:r>
      <w:r w:rsidRPr="391B1306">
        <w:rPr>
          <w:rFonts w:ascii="Verdana" w:hAnsi="Verdana" w:cs="Tahoma"/>
          <w:color w:val="auto"/>
        </w:rPr>
        <w:lastRenderedPageBreak/>
        <w:t>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w:t>
      </w:r>
      <w:r w:rsidRPr="00883E61">
        <w:rPr>
          <w:rFonts w:ascii="Verdana" w:hAnsi="Verdana" w:cs="Tahoma"/>
          <w:bCs/>
          <w:color w:val="auto"/>
          <w:sz w:val="20"/>
          <w:szCs w:val="20"/>
        </w:rPr>
        <w:lastRenderedPageBreak/>
        <w:t xml:space="preserve">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t>
      </w:r>
      <w:r w:rsidRPr="00883E61">
        <w:rPr>
          <w:rFonts w:ascii="Verdana" w:eastAsia="Cambria" w:hAnsi="Verdana" w:cs="Tahoma"/>
          <w:color w:val="auto"/>
          <w:szCs w:val="20"/>
          <w:lang w:eastAsia="ar-SA"/>
        </w:rPr>
        <w:lastRenderedPageBreak/>
        <w:t>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zwrotu wynagrodzenia zapłaconego przez Zamawiającego w części odpowiadającej wysokości podatku VAT, w przypadku, gdy Zamawiający stwierdzi, że na dzień wystawienia faktury VAT lub zapłaty </w:t>
      </w:r>
      <w:r w:rsidRPr="00883E61">
        <w:rPr>
          <w:rFonts w:ascii="Verdana" w:hAnsi="Verdana" w:cs="Roboto Lt"/>
          <w:color w:val="auto"/>
          <w:szCs w:val="20"/>
        </w:rPr>
        <w:lastRenderedPageBreak/>
        <w:t>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1"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1"/>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66D41B0E" w14:textId="77777777" w:rsidR="00CB4281"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a)</w:t>
      </w:r>
      <w:r w:rsidR="00454182" w:rsidRPr="003B309B">
        <w:rPr>
          <w:rFonts w:ascii="Verdana" w:hAnsi="Verdana" w:cs="Tahoma"/>
          <w:color w:val="auto"/>
          <w:szCs w:val="20"/>
          <w:lang w:val="en-GB"/>
        </w:rPr>
        <w:t xml:space="preserve">……………., tel.: …………………., e-mail: ……………………. </w:t>
      </w:r>
    </w:p>
    <w:p w14:paraId="35D15F6A" w14:textId="5C132DE2" w:rsidR="004D25F3" w:rsidRPr="003B309B"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lastRenderedPageBreak/>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zmiana sposobu rozliczania Umowy lub dokonywania płatności na rzecz Wykonawcy na skutek zmian zawartej (zawartych) przez Zamawiającego umowy (umów) o dofinansowanie projektu (projektów) lub wytycznych </w:t>
      </w:r>
      <w:r w:rsidRPr="00883E61">
        <w:rPr>
          <w:rFonts w:ascii="Verdana" w:hAnsi="Verdana" w:cs="Tahoma"/>
          <w:color w:val="auto"/>
          <w:szCs w:val="20"/>
        </w:rPr>
        <w:lastRenderedPageBreak/>
        <w:t>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2F757ECA" w14:textId="0BB4D34A" w:rsidR="00614B12" w:rsidRPr="0063758D" w:rsidRDefault="00614B12" w:rsidP="00614B12">
      <w:pPr>
        <w:spacing w:after="0"/>
        <w:ind w:left="426" w:hanging="426"/>
        <w:rPr>
          <w:rFonts w:ascii="Verdana" w:hAnsi="Verdana" w:cs="Tahoma"/>
          <w:color w:val="auto"/>
          <w:szCs w:val="20"/>
        </w:rPr>
      </w:pPr>
      <w:r>
        <w:rPr>
          <w:rFonts w:ascii="Verdana" w:hAnsi="Verdana" w:cs="Tahoma"/>
          <w:color w:val="auto"/>
          <w:szCs w:val="20"/>
        </w:rPr>
        <w:t xml:space="preserve">4. </w:t>
      </w:r>
      <w:r w:rsidRPr="00614B12">
        <w:rPr>
          <w:rFonts w:ascii="Verdana" w:hAnsi="Verdana" w:cs="Tahoma"/>
          <w:color w:val="auto"/>
          <w:szCs w:val="20"/>
        </w:rPr>
        <w:t>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Terminy realizacji ustalone w Umowie mogą zostać przedłużone o uzasadniony okres, jeżeli realizacja zobowiązań Wykonawcy lub Zamawiającego </w:t>
      </w:r>
      <w:r w:rsidRPr="00883E61">
        <w:rPr>
          <w:rFonts w:ascii="Verdana" w:hAnsi="Verdana" w:cs="Tahoma"/>
          <w:color w:val="auto"/>
          <w:szCs w:val="20"/>
        </w:rPr>
        <w:lastRenderedPageBreak/>
        <w:t>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D79CDF1" w14:textId="4FAB9FAC"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3131" w:type="dxa"/>
        <w:tblCellMar>
          <w:left w:w="70" w:type="dxa"/>
          <w:right w:w="70" w:type="dxa"/>
        </w:tblCellMar>
        <w:tblLook w:val="04A0" w:firstRow="1" w:lastRow="0" w:firstColumn="1" w:lastColumn="0" w:noHBand="0" w:noVBand="1"/>
      </w:tblPr>
      <w:tblGrid>
        <w:gridCol w:w="356"/>
        <w:gridCol w:w="1194"/>
        <w:gridCol w:w="1403"/>
        <w:gridCol w:w="4034"/>
        <w:gridCol w:w="1129"/>
        <w:gridCol w:w="588"/>
        <w:gridCol w:w="961"/>
        <w:gridCol w:w="537"/>
        <w:gridCol w:w="639"/>
        <w:gridCol w:w="812"/>
        <w:gridCol w:w="666"/>
        <w:gridCol w:w="812"/>
      </w:tblGrid>
      <w:tr w:rsidR="00583628" w:rsidRPr="00583628" w14:paraId="5A24B2A8" w14:textId="77777777" w:rsidTr="004F6599">
        <w:trPr>
          <w:trHeight w:val="738"/>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034"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588"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4F6599">
        <w:trPr>
          <w:trHeight w:val="198"/>
        </w:trPr>
        <w:tc>
          <w:tcPr>
            <w:tcW w:w="356"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194"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034"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9"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4F6599">
        <w:trPr>
          <w:trHeight w:val="198"/>
        </w:trPr>
        <w:tc>
          <w:tcPr>
            <w:tcW w:w="356"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194"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034"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9"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4F6599">
        <w:trPr>
          <w:trHeight w:val="198"/>
        </w:trPr>
        <w:tc>
          <w:tcPr>
            <w:tcW w:w="356"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194"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034"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9"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4F6599">
        <w:trPr>
          <w:trHeight w:val="153"/>
        </w:trPr>
        <w:tc>
          <w:tcPr>
            <w:tcW w:w="10841"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8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2" w:name="RANGE!J6"/>
            <w:r w:rsidRPr="00583628">
              <w:rPr>
                <w:rFonts w:ascii="Calibri" w:eastAsia="Times New Roman" w:hAnsi="Calibri" w:cs="Calibri"/>
                <w:color w:val="000000"/>
                <w:spacing w:val="0"/>
                <w:sz w:val="18"/>
                <w:szCs w:val="18"/>
                <w:lang w:eastAsia="pl-PL"/>
              </w:rPr>
              <w:t xml:space="preserve">                    -   zł </w:t>
            </w:r>
            <w:bookmarkEnd w:id="2"/>
          </w:p>
        </w:tc>
        <w:tc>
          <w:tcPr>
            <w:tcW w:w="66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8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5EE0A1FD" w14:textId="7E1A85A1" w:rsidR="00C45BEF" w:rsidRDefault="00C45BEF" w:rsidP="00C45BEF">
      <w:pPr>
        <w:tabs>
          <w:tab w:val="left" w:pos="1423"/>
        </w:tabs>
        <w:rPr>
          <w:rFonts w:ascii="Verdana" w:hAnsi="Verdana" w:cs="Tahoma"/>
          <w:szCs w:val="20"/>
        </w:rPr>
      </w:pPr>
      <w:r>
        <w:rPr>
          <w:rFonts w:ascii="Verdana" w:hAnsi="Verdana" w:cs="Tahoma"/>
          <w:szCs w:val="20"/>
        </w:rPr>
        <w:tab/>
      </w:r>
    </w:p>
    <w:p w14:paraId="7A0AA526" w14:textId="6AB35D98" w:rsidR="00C45BEF" w:rsidRPr="00C45BEF" w:rsidRDefault="00C45BEF" w:rsidP="00C45BEF">
      <w:pPr>
        <w:tabs>
          <w:tab w:val="left" w:pos="7501"/>
        </w:tabs>
        <w:rPr>
          <w:rFonts w:ascii="Verdana" w:hAnsi="Verdana" w:cs="Tahoma"/>
          <w:szCs w:val="20"/>
        </w:rPr>
        <w:sectPr w:rsidR="00C45BEF" w:rsidRPr="00C45BEF" w:rsidSect="00FC7226">
          <w:footerReference w:type="default" r:id="rId15"/>
          <w:pgSz w:w="16838" w:h="11906" w:orient="landscape"/>
          <w:pgMar w:top="1560" w:right="1559" w:bottom="851" w:left="2126" w:header="709" w:footer="743" w:gutter="0"/>
          <w:cols w:space="708"/>
          <w:docGrid w:linePitch="360"/>
        </w:sectPr>
      </w:pPr>
      <w:r>
        <w:rPr>
          <w:rFonts w:ascii="Verdana" w:hAnsi="Verdana" w:cs="Tahoma"/>
          <w:szCs w:val="20"/>
        </w:rPr>
        <w:tab/>
      </w: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507EE827" w14:textId="77777777" w:rsidR="00250A53" w:rsidRPr="00250A53" w:rsidRDefault="00250A53" w:rsidP="00250A53">
      <w:pPr>
        <w:rPr>
          <w:rFonts w:ascii="Verdana" w:eastAsia="Calibri" w:hAnsi="Verdana" w:cs="Calibri"/>
          <w:color w:val="auto"/>
          <w:spacing w:val="0"/>
          <w:kern w:val="2"/>
          <w:szCs w:val="20"/>
          <w:lang w:bidi="en-US"/>
        </w:rPr>
      </w:pPr>
      <w:r w:rsidRPr="00250A53">
        <w:rPr>
          <w:rFonts w:ascii="Verdana" w:eastAsia="Calibri" w:hAnsi="Verdana" w:cs="Calibri"/>
          <w:color w:val="auto"/>
          <w:spacing w:val="0"/>
          <w:kern w:val="2"/>
          <w:szCs w:val="20"/>
          <w:lang w:bidi="en-US"/>
        </w:rPr>
        <w:t xml:space="preserve">Projekt </w:t>
      </w:r>
      <w:proofErr w:type="spellStart"/>
      <w:r w:rsidRPr="00250A53">
        <w:rPr>
          <w:rFonts w:ascii="Verdana" w:eastAsia="Calibri" w:hAnsi="Verdana" w:cs="Calibri"/>
          <w:color w:val="auto"/>
          <w:spacing w:val="0"/>
          <w:kern w:val="2"/>
          <w:szCs w:val="20"/>
          <w:lang w:bidi="en-US"/>
        </w:rPr>
        <w:t>BacViroBank</w:t>
      </w:r>
      <w:proofErr w:type="spellEnd"/>
      <w:r w:rsidRPr="00250A53">
        <w:rPr>
          <w:rFonts w:ascii="Verdana" w:eastAsia="Calibri" w:hAnsi="Verdana" w:cs="Calibri"/>
          <w:color w:val="auto"/>
          <w:spacing w:val="0"/>
          <w:kern w:val="2"/>
          <w:szCs w:val="20"/>
          <w:lang w:bidi="en-US"/>
        </w:rPr>
        <w:t>: "Identyfikacja i charakterystyka zakażeń wirusami i bakteriami opornymi na antybiotyki u pacjentów onkologicznych" finansowany ze środków Centrum Łukasiewicz na podstawie umowy nr 6/Ł-PORT/CŁ/2021</w:t>
      </w:r>
    </w:p>
    <w:p w14:paraId="55812EF7" w14:textId="3CA81ECF" w:rsidR="3DA47EFC" w:rsidRDefault="00FF2423" w:rsidP="00250A5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0F2B21B7" w:rsidR="006C5337" w:rsidRPr="006C5337" w:rsidRDefault="006C5337" w:rsidP="006C5337">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D229BC">
            <w:rPr>
              <w:rFonts w:eastAsia="Calibri" w:cs="Tahoma"/>
              <w:bCs/>
              <w:color w:val="auto"/>
              <w:szCs w:val="20"/>
            </w:rPr>
            <w:t>d</w:t>
          </w:r>
          <w:r w:rsidR="00D229BC" w:rsidRPr="00D229BC">
            <w:rPr>
              <w:rFonts w:eastAsia="Calibri" w:cs="Tahoma"/>
              <w:bCs/>
              <w:color w:val="auto"/>
              <w:szCs w:val="20"/>
            </w:rPr>
            <w:t>ostaw</w:t>
          </w:r>
          <w:r w:rsidR="00D229BC">
            <w:rPr>
              <w:rFonts w:eastAsia="Calibri" w:cs="Tahoma"/>
              <w:bCs/>
              <w:color w:val="auto"/>
              <w:szCs w:val="20"/>
            </w:rPr>
            <w:t>ę</w:t>
          </w:r>
          <w:r w:rsidR="00D229BC" w:rsidRPr="00D229BC">
            <w:rPr>
              <w:rFonts w:eastAsia="Calibri" w:cs="Tahoma"/>
              <w:bCs/>
              <w:color w:val="auto"/>
              <w:szCs w:val="20"/>
            </w:rPr>
            <w:t xml:space="preserve"> odczynników do detekcji oraz diagnostyki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4F16D7F7" w:rsidR="008B4B19" w:rsidRPr="008B4B19" w:rsidRDefault="00D229BC" w:rsidP="008B4B19">
      <w:pPr>
        <w:spacing w:after="120" w:line="276" w:lineRule="auto"/>
        <w:ind w:left="567"/>
        <w:contextualSpacing/>
        <w:jc w:val="center"/>
        <w:rPr>
          <w:rFonts w:asciiTheme="majorHAnsi" w:eastAsia="Verdana" w:hAnsiTheme="majorHAnsi" w:cs="Times New Roman"/>
          <w:b/>
          <w:color w:val="000000"/>
          <w:sz w:val="16"/>
          <w:szCs w:val="16"/>
        </w:rPr>
      </w:pPr>
      <w:r w:rsidRPr="00D229BC">
        <w:rPr>
          <w:rFonts w:asciiTheme="majorHAnsi" w:eastAsia="Verdana" w:hAnsiTheme="majorHAnsi" w:cs="Times New Roman"/>
          <w:b/>
          <w:i/>
          <w:iCs/>
          <w:color w:val="000000"/>
          <w:sz w:val="16"/>
          <w:szCs w:val="16"/>
        </w:rPr>
        <w:t>Dostawa odczynników do detekcji oraz diagnostyki na podstawie umowy ramowej</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sidR="0002598C" w:rsidRPr="0002598C">
        <w:rPr>
          <w:rFonts w:asciiTheme="majorHAnsi" w:eastAsia="Verdana" w:hAnsiTheme="majorHAnsi" w:cs="Times New Roman"/>
          <w:bCs/>
          <w:color w:val="000000"/>
          <w:sz w:val="16"/>
          <w:szCs w:val="16"/>
        </w:rPr>
        <w:t>SPZP.271.</w:t>
      </w:r>
      <w:r w:rsidR="00250A53">
        <w:rPr>
          <w:rFonts w:asciiTheme="majorHAnsi" w:eastAsia="Verdana" w:hAnsiTheme="majorHAnsi" w:cs="Times New Roman"/>
          <w:bCs/>
          <w:color w:val="000000"/>
          <w:sz w:val="16"/>
          <w:szCs w:val="16"/>
        </w:rPr>
        <w:t>6</w:t>
      </w:r>
      <w:r>
        <w:rPr>
          <w:rFonts w:asciiTheme="majorHAnsi" w:eastAsia="Verdana" w:hAnsiTheme="majorHAnsi" w:cs="Times New Roman"/>
          <w:bCs/>
          <w:color w:val="000000"/>
          <w:sz w:val="16"/>
          <w:szCs w:val="16"/>
        </w:rPr>
        <w:t>6</w:t>
      </w:r>
      <w:r w:rsidR="0002598C" w:rsidRPr="0002598C">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3"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4" w:name="_Hlk54079300"/>
      <w:bookmarkEnd w:id="3"/>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4"/>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w:t>
            </w:r>
            <w:r w:rsidRPr="008B4B19">
              <w:rPr>
                <w:rFonts w:asciiTheme="majorHAnsi" w:eastAsia="Verdana" w:hAnsiTheme="majorHAnsi" w:cs="Times New Roman"/>
                <w:color w:val="000000"/>
                <w:sz w:val="16"/>
                <w:szCs w:val="16"/>
              </w:rPr>
              <w:lastRenderedPageBreak/>
              <w:t>nadzoru etc. i innych osób 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w:t>
            </w:r>
            <w:r w:rsidRPr="008B4B19">
              <w:rPr>
                <w:rFonts w:asciiTheme="majorHAnsi" w:eastAsia="Verdana" w:hAnsiTheme="majorHAnsi" w:cs="Times New Roman"/>
                <w:color w:val="000000"/>
                <w:sz w:val="16"/>
                <w:szCs w:val="16"/>
              </w:rPr>
              <w:lastRenderedPageBreak/>
              <w:t xml:space="preserve">Państwa pracodawcy 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przepisami ustawy Prawo zamówień publicznych (w przypadku danych o wyrokach skazujących </w:t>
            </w:r>
            <w:r w:rsidRPr="008B4B19">
              <w:rPr>
                <w:rFonts w:asciiTheme="majorHAnsi" w:eastAsia="Verdana" w:hAnsiTheme="majorHAnsi" w:cs="Times New Roman"/>
                <w:color w:val="000000"/>
                <w:sz w:val="16"/>
                <w:szCs w:val="16"/>
              </w:rPr>
              <w:lastRenderedPageBreak/>
              <w:t>–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Obowiązek podania danych osobowych jest wymogiem ustawowym określonym w przepisach PZP związanym z udziałem w postępowaniu o udzielenie zamówienia publicznego. Konsekwencje niepodania określonych danych wynikają z PZP, w szczególnośc</w:t>
            </w:r>
            <w:r w:rsidRPr="008B4B19">
              <w:rPr>
                <w:rFonts w:asciiTheme="majorHAnsi" w:hAnsiTheme="majorHAnsi"/>
                <w:color w:val="000000"/>
                <w:sz w:val="16"/>
                <w:szCs w:val="16"/>
              </w:rPr>
              <w:lastRenderedPageBreak/>
              <w:t xml:space="preserve">i </w:t>
            </w:r>
            <w:r w:rsidRPr="008B4B19">
              <w:rPr>
                <w:rFonts w:asciiTheme="majorHAnsi" w:eastAsia="Verdana" w:hAnsiTheme="majorHAnsi" w:cs="Times New Roman"/>
                <w:color w:val="000000"/>
                <w:sz w:val="16"/>
                <w:szCs w:val="16"/>
              </w:rPr>
              <w:t>niepodanie danych uniemożliwia  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w:t>
            </w:r>
            <w:r w:rsidRPr="008B4B19">
              <w:rPr>
                <w:rFonts w:asciiTheme="majorHAnsi" w:eastAsia="Verdana" w:hAnsiTheme="majorHAnsi" w:cs="Times New Roman"/>
                <w:color w:val="000000"/>
                <w:sz w:val="16"/>
                <w:szCs w:val="16"/>
              </w:rPr>
              <w:lastRenderedPageBreak/>
              <w:t>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w:t>
            </w:r>
            <w:r w:rsidRPr="008B4B19">
              <w:rPr>
                <w:rFonts w:asciiTheme="majorHAnsi" w:eastAsia="Verdana" w:hAnsiTheme="majorHAnsi" w:cs="Times New Roman"/>
                <w:color w:val="000000"/>
                <w:sz w:val="16"/>
                <w:szCs w:val="16"/>
              </w:rPr>
              <w:lastRenderedPageBreak/>
              <w:t>Prawo zamówień publicznych, konkretnie wskazanego w dokumentacji, do której załączona jest niniejsza klauzula informacyjna</w:t>
            </w:r>
          </w:p>
        </w:tc>
        <w:tc>
          <w:tcPr>
            <w:tcW w:w="827" w:type="pct"/>
          </w:tcPr>
          <w:p w14:paraId="1EB55436" w14:textId="774415E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w:t>
            </w:r>
            <w:r w:rsidRPr="008B4B19">
              <w:rPr>
                <w:rFonts w:asciiTheme="majorHAnsi" w:eastAsia="Verdana" w:hAnsiTheme="majorHAnsi" w:cs="Times New Roman"/>
                <w:color w:val="000000"/>
                <w:sz w:val="16"/>
                <w:szCs w:val="16"/>
              </w:rPr>
              <w:lastRenderedPageBreak/>
              <w:t xml:space="preserve">zawartej w 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niewskazanych wyraźnie w Umowie, ale wykonujących Umowę w imieniu Wykonawcy (np. osoby faktycznie dokonujące prac instalacji zakupionego sprzętu na terenie Administratora) lub osób wskazanych w Umowie i </w:t>
            </w:r>
            <w:r w:rsidRPr="008B4B19">
              <w:rPr>
                <w:rFonts w:asciiTheme="majorHAnsi" w:eastAsia="Verdana" w:hAnsiTheme="majorHAnsi" w:cs="Times New Roman"/>
                <w:color w:val="000000"/>
                <w:sz w:val="16"/>
                <w:szCs w:val="16"/>
              </w:rPr>
              <w:lastRenderedPageBreak/>
              <w:t>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imię, nazwisko, adresy kontaktowe, stanowisko, numer telefonu, adres email; jeśli wykonujecie Państwo prace na terenie Administratora: wizerunek (w ramach monitoringu, o którym </w:t>
            </w:r>
            <w:r w:rsidRPr="008B4B19">
              <w:rPr>
                <w:rFonts w:asciiTheme="majorHAnsi" w:eastAsia="Verdana" w:hAnsiTheme="majorHAnsi" w:cs="Times New Roman"/>
                <w:color w:val="000000"/>
                <w:sz w:val="16"/>
                <w:szCs w:val="16"/>
              </w:rPr>
              <w:lastRenderedPageBreak/>
              <w:t>jesteście Państwo informowani w razie jego 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5" w:name="_Hlk64633513"/>
      <w:r w:rsidRPr="008B4B19">
        <w:rPr>
          <w:rFonts w:asciiTheme="majorHAnsi" w:eastAsia="Verdana" w:hAnsiTheme="majorHAnsi" w:cs="Times New Roman"/>
          <w:color w:val="000000"/>
          <w:sz w:val="16"/>
          <w:szCs w:val="16"/>
        </w:rPr>
        <w:t>w szczególności</w:t>
      </w:r>
      <w:bookmarkEnd w:id="5"/>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6" w:name="_Hlk64633462"/>
      <w:r w:rsidRPr="008B4B19">
        <w:rPr>
          <w:rFonts w:asciiTheme="majorHAnsi" w:eastAsia="Verdana" w:hAnsiTheme="majorHAnsi" w:cs="Times New Roman"/>
          <w:color w:val="000000"/>
          <w:sz w:val="16"/>
          <w:szCs w:val="16"/>
        </w:rPr>
        <w:t>prawnych, księgowych, podatkowych, hostingowych, ubezpieczeniowych</w:t>
      </w:r>
      <w:bookmarkEnd w:id="6"/>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lastRenderedPageBreak/>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przenoszenia danych osobowych. Informujemy jednak, że: prawo to </w:t>
      </w:r>
      <w:r w:rsidRPr="008B4B19">
        <w:rPr>
          <w:rFonts w:asciiTheme="majorHAnsi" w:eastAsia="Verdana" w:hAnsiTheme="majorHAnsi" w:cs="Times New Roman"/>
          <w:color w:val="000000"/>
          <w:sz w:val="16"/>
          <w:szCs w:val="16"/>
        </w:rPr>
        <w:lastRenderedPageBreak/>
        <w:t>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BB16" w14:textId="77777777" w:rsidR="00654E42" w:rsidRDefault="00654E42" w:rsidP="006747BD">
      <w:pPr>
        <w:spacing w:after="0" w:line="240" w:lineRule="auto"/>
      </w:pPr>
      <w:r>
        <w:separator/>
      </w:r>
    </w:p>
  </w:endnote>
  <w:endnote w:type="continuationSeparator" w:id="0">
    <w:p w14:paraId="5D8E6ACE" w14:textId="77777777" w:rsidR="00654E42" w:rsidRDefault="00654E4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743"/>
    </w:tblGrid>
    <w:tr w:rsidR="00C45BEF" w14:paraId="2C42B302" w14:textId="77777777" w:rsidTr="00C76BF7">
      <w:tc>
        <w:tcPr>
          <w:tcW w:w="2410" w:type="dxa"/>
          <w:tcBorders>
            <w:right w:val="single" w:sz="12" w:space="0" w:color="7F7F7F" w:themeColor="background2" w:themeTint="80"/>
          </w:tcBorders>
        </w:tcPr>
        <w:p w14:paraId="07C7E524" w14:textId="77777777" w:rsidR="00C45BEF" w:rsidRDefault="00C45BEF" w:rsidP="00C45BEF">
          <w:pPr>
            <w:pStyle w:val="Stopka"/>
            <w:ind w:left="-247" w:firstLine="247"/>
          </w:pPr>
          <w:r>
            <w:rPr>
              <w:noProof/>
            </w:rPr>
            <w:drawing>
              <wp:anchor distT="0" distB="0" distL="114300" distR="114300" simplePos="0" relativeHeight="251673600" behindDoc="0" locked="0" layoutInCell="1" allowOverlap="1" wp14:anchorId="15DA1FDB" wp14:editId="6C04DD03">
                <wp:simplePos x="0" y="0"/>
                <wp:positionH relativeFrom="column">
                  <wp:posOffset>-73025</wp:posOffset>
                </wp:positionH>
                <wp:positionV relativeFrom="paragraph">
                  <wp:posOffset>-46355</wp:posOffset>
                </wp:positionV>
                <wp:extent cx="1436827" cy="450850"/>
                <wp:effectExtent l="0" t="0" r="0" b="6350"/>
                <wp:wrapNone/>
                <wp:docPr id="2" name="Obraz 2"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436827" cy="450850"/>
                        </a:xfrm>
                        <a:prstGeom prst="rect">
                          <a:avLst/>
                        </a:prstGeom>
                      </pic:spPr>
                    </pic:pic>
                  </a:graphicData>
                </a:graphic>
              </wp:anchor>
            </w:drawing>
          </w:r>
        </w:p>
      </w:tc>
      <w:tc>
        <w:tcPr>
          <w:tcW w:w="5743" w:type="dxa"/>
          <w:tcBorders>
            <w:left w:val="single" w:sz="12" w:space="0" w:color="7F7F7F" w:themeColor="background2" w:themeTint="80"/>
          </w:tcBorders>
          <w:vAlign w:val="center"/>
        </w:tcPr>
        <w:p w14:paraId="1AAE5013" w14:textId="77777777" w:rsidR="00C45BEF" w:rsidRPr="009C15F5" w:rsidRDefault="00C45BEF" w:rsidP="00C45BEF">
          <w:pPr>
            <w:pStyle w:val="Stopka"/>
            <w:rPr>
              <w:b w:val="0"/>
              <w:bCs/>
              <w:sz w:val="12"/>
              <w:szCs w:val="12"/>
            </w:rPr>
          </w:pPr>
          <w:r w:rsidRPr="00EB74DB">
            <w:rPr>
              <w:b w:val="0"/>
              <w:bCs/>
              <w:sz w:val="12"/>
              <w:szCs w:val="12"/>
            </w:rPr>
            <w:t xml:space="preserve">Projekt </w:t>
          </w:r>
          <w:r>
            <w:rPr>
              <w:b w:val="0"/>
              <w:bCs/>
              <w:sz w:val="12"/>
              <w:szCs w:val="12"/>
            </w:rPr>
            <w:t xml:space="preserve">pn. „ </w:t>
          </w:r>
          <w:r w:rsidRPr="00543DD5">
            <w:rPr>
              <w:b w:val="0"/>
              <w:bCs/>
              <w:sz w:val="12"/>
              <w:szCs w:val="12"/>
            </w:rPr>
            <w:t>Identyfikacja i charakterystyka zakażeń wirusami i bakteriami opornymi na antybiotyki u pacjentów onkologicznych</w:t>
          </w:r>
          <w:r w:rsidRPr="00E32395">
            <w:rPr>
              <w:b w:val="0"/>
              <w:bCs/>
              <w:sz w:val="12"/>
              <w:szCs w:val="12"/>
            </w:rPr>
            <w:t>"</w:t>
          </w:r>
          <w:r>
            <w:rPr>
              <w:b w:val="0"/>
              <w:bCs/>
              <w:sz w:val="12"/>
              <w:szCs w:val="12"/>
            </w:rPr>
            <w:t xml:space="preserve"> dofinansowano ze środków budżetu państwa, dotacja celowa przyznawana instytutom działającym w ramach Sieci Badawczej Łukasiewicz na podstawie umowy nr 6</w:t>
          </w:r>
          <w:r w:rsidRPr="00EB74DB">
            <w:rPr>
              <w:b w:val="0"/>
              <w:bCs/>
              <w:sz w:val="12"/>
              <w:szCs w:val="12"/>
            </w:rPr>
            <w:t>/Ł-PORT/CŁ/2021</w:t>
          </w:r>
        </w:p>
      </w:tc>
    </w:tr>
  </w:tbl>
  <w:p w14:paraId="1EFDCEBB" w14:textId="160004A8" w:rsidR="007659E5" w:rsidRPr="007659E5" w:rsidRDefault="00454182" w:rsidP="004F6599">
    <w:pPr>
      <w:pStyle w:val="Stopka"/>
      <w:tabs>
        <w:tab w:val="clear" w:pos="4536"/>
        <w:tab w:val="left" w:pos="0"/>
        <w:tab w:val="center" w:pos="8505"/>
        <w:tab w:val="right" w:pos="8645"/>
      </w:tabs>
      <w:jc w:val="left"/>
      <w:rPr>
        <w:sz w:val="18"/>
        <w:szCs w:val="18"/>
      </w:rPr>
    </w:pPr>
    <w:r w:rsidRPr="00AE103F">
      <w:rPr>
        <w:noProof/>
        <w:lang w:eastAsia="pl-PL"/>
      </w:rPr>
      <w:drawing>
        <wp:anchor distT="0" distB="0" distL="114300" distR="114300" simplePos="0" relativeHeight="251652096" behindDoc="1" locked="0" layoutInCell="1" allowOverlap="1" wp14:anchorId="4B7E6AAF" wp14:editId="19BF600C">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107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F6599">
      <w:rPr>
        <w:rFonts w:eastAsiaTheme="majorEastAsia" w:cstheme="majorBidi"/>
        <w:sz w:val="18"/>
        <w:szCs w:val="18"/>
      </w:rPr>
      <w:tab/>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004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FBE05" w14:textId="3A3AFBD6" w:rsidR="00454182" w:rsidRDefault="00454182">
    <w:pPr>
      <w:pStyle w:val="Stopka"/>
    </w:pPr>
    <w:r w:rsidRPr="00DA52A1">
      <w:rPr>
        <w:noProof/>
        <w:lang w:eastAsia="pl-PL"/>
      </w:rPr>
      <w:drawing>
        <wp:anchor distT="0" distB="0" distL="114300" distR="114300" simplePos="0" relativeHeight="25165516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4144" behindDoc="1" locked="1" layoutInCell="1" allowOverlap="1" wp14:anchorId="12B42EF0" wp14:editId="59EFA47F">
              <wp:simplePos x="0" y="0"/>
              <wp:positionH relativeFrom="margin">
                <wp:posOffset>384175</wp:posOffset>
              </wp:positionH>
              <wp:positionV relativeFrom="page">
                <wp:align>bottom</wp:align>
              </wp:positionV>
              <wp:extent cx="4269105" cy="438785"/>
              <wp:effectExtent l="0" t="0" r="0" b="1016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42810A6F" w:rsidR="00454182" w:rsidRPr="006F7A0C" w:rsidRDefault="00454182" w:rsidP="00F66D90">
                          <w:pPr>
                            <w:pStyle w:val="LukStopka-adres"/>
                            <w:jc w:val="both"/>
                            <w:rPr>
                              <w:rFonts w:ascii="Verdana" w:hAnsi="Verdana"/>
                            </w:rPr>
                          </w:pPr>
                          <w:r w:rsidRPr="006F7A0C">
                            <w:rPr>
                              <w:rFonts w:ascii="Verdana" w:hAnsi="Verdana"/>
                            </w:rPr>
                            <w:t xml:space="preserve">54-066 Wrocław, ul. Stabłowicka 147, Tel: +48 71 734 77 77, </w:t>
                          </w:r>
                        </w:p>
                        <w:p w14:paraId="5D919C90" w14:textId="77777777" w:rsidR="00454182" w:rsidRPr="00250A53" w:rsidRDefault="00454182" w:rsidP="00F66D90">
                          <w:pPr>
                            <w:pStyle w:val="LukStopka-adres"/>
                            <w:jc w:val="both"/>
                            <w:rPr>
                              <w:rFonts w:ascii="Verdana" w:hAnsi="Verdana"/>
                            </w:rPr>
                          </w:pPr>
                          <w:r w:rsidRPr="00250A53">
                            <w:rPr>
                              <w:rFonts w:ascii="Verdana" w:hAnsi="Verdana"/>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30.25pt;margin-top:0;width:336.15pt;height:34.55pt;z-index:-25166233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42810A6F" w:rsidR="00454182" w:rsidRPr="006F7A0C" w:rsidRDefault="00454182" w:rsidP="00F66D90">
                    <w:pPr>
                      <w:pStyle w:val="LukStopka-adres"/>
                      <w:jc w:val="both"/>
                      <w:rPr>
                        <w:rFonts w:ascii="Verdana" w:hAnsi="Verdana"/>
                      </w:rPr>
                    </w:pPr>
                    <w:r w:rsidRPr="006F7A0C">
                      <w:rPr>
                        <w:rFonts w:ascii="Verdana" w:hAnsi="Verdana"/>
                      </w:rPr>
                      <w:t xml:space="preserve">54-066 Wrocław, ul. Stabłowicka 147, Tel: +48 71 734 77 77, </w:t>
                    </w:r>
                  </w:p>
                  <w:p w14:paraId="5D919C90" w14:textId="77777777" w:rsidR="00454182" w:rsidRPr="00250A53" w:rsidRDefault="00454182" w:rsidP="00F66D90">
                    <w:pPr>
                      <w:pStyle w:val="LukStopka-adres"/>
                      <w:jc w:val="both"/>
                      <w:rPr>
                        <w:rFonts w:ascii="Verdana" w:hAnsi="Verdana"/>
                      </w:rPr>
                    </w:pPr>
                    <w:r w:rsidRPr="00250A53">
                      <w:rPr>
                        <w:rFonts w:ascii="Verdana" w:hAnsi="Verdana"/>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743"/>
    </w:tblGrid>
    <w:tr w:rsidR="00C45BEF" w14:paraId="04B1FAE3" w14:textId="77777777" w:rsidTr="00C45BEF">
      <w:trPr>
        <w:jc w:val="center"/>
      </w:trPr>
      <w:tc>
        <w:tcPr>
          <w:tcW w:w="2410" w:type="dxa"/>
          <w:tcBorders>
            <w:right w:val="single" w:sz="12" w:space="0" w:color="7F7F7F" w:themeColor="background2" w:themeTint="80"/>
          </w:tcBorders>
        </w:tcPr>
        <w:p w14:paraId="3EAA9B27" w14:textId="77777777" w:rsidR="00C45BEF" w:rsidRDefault="00C45BEF" w:rsidP="00C45BEF">
          <w:pPr>
            <w:pStyle w:val="Stopka"/>
            <w:ind w:left="-247" w:firstLine="247"/>
          </w:pPr>
          <w:r>
            <w:rPr>
              <w:noProof/>
            </w:rPr>
            <w:drawing>
              <wp:anchor distT="0" distB="0" distL="114300" distR="114300" simplePos="0" relativeHeight="251675648" behindDoc="0" locked="0" layoutInCell="1" allowOverlap="1" wp14:anchorId="3AF27902" wp14:editId="03191174">
                <wp:simplePos x="0" y="0"/>
                <wp:positionH relativeFrom="column">
                  <wp:posOffset>-73025</wp:posOffset>
                </wp:positionH>
                <wp:positionV relativeFrom="paragraph">
                  <wp:posOffset>-46355</wp:posOffset>
                </wp:positionV>
                <wp:extent cx="1436827" cy="450850"/>
                <wp:effectExtent l="0" t="0" r="0" b="6350"/>
                <wp:wrapNone/>
                <wp:docPr id="413382910" name="Obraz 413382910"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382910" name="Obraz 413382910"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436827" cy="450850"/>
                        </a:xfrm>
                        <a:prstGeom prst="rect">
                          <a:avLst/>
                        </a:prstGeom>
                      </pic:spPr>
                    </pic:pic>
                  </a:graphicData>
                </a:graphic>
              </wp:anchor>
            </w:drawing>
          </w:r>
        </w:p>
      </w:tc>
      <w:tc>
        <w:tcPr>
          <w:tcW w:w="5743" w:type="dxa"/>
          <w:tcBorders>
            <w:left w:val="single" w:sz="12" w:space="0" w:color="7F7F7F" w:themeColor="background2" w:themeTint="80"/>
          </w:tcBorders>
          <w:vAlign w:val="center"/>
        </w:tcPr>
        <w:p w14:paraId="320F014F" w14:textId="77777777" w:rsidR="00C45BEF" w:rsidRPr="009C15F5" w:rsidRDefault="00C45BEF" w:rsidP="00C45BEF">
          <w:pPr>
            <w:pStyle w:val="Stopka"/>
            <w:rPr>
              <w:b w:val="0"/>
              <w:bCs/>
              <w:sz w:val="12"/>
              <w:szCs w:val="12"/>
            </w:rPr>
          </w:pPr>
          <w:r w:rsidRPr="00EB74DB">
            <w:rPr>
              <w:b w:val="0"/>
              <w:bCs/>
              <w:sz w:val="12"/>
              <w:szCs w:val="12"/>
            </w:rPr>
            <w:t xml:space="preserve">Projekt </w:t>
          </w:r>
          <w:r>
            <w:rPr>
              <w:b w:val="0"/>
              <w:bCs/>
              <w:sz w:val="12"/>
              <w:szCs w:val="12"/>
            </w:rPr>
            <w:t xml:space="preserve">pn. „ </w:t>
          </w:r>
          <w:r w:rsidRPr="00543DD5">
            <w:rPr>
              <w:b w:val="0"/>
              <w:bCs/>
              <w:sz w:val="12"/>
              <w:szCs w:val="12"/>
            </w:rPr>
            <w:t>Identyfikacja i charakterystyka zakażeń wirusami i bakteriami opornymi na antybiotyki u pacjentów onkologicznych</w:t>
          </w:r>
          <w:r w:rsidRPr="00E32395">
            <w:rPr>
              <w:b w:val="0"/>
              <w:bCs/>
              <w:sz w:val="12"/>
              <w:szCs w:val="12"/>
            </w:rPr>
            <w:t>"</w:t>
          </w:r>
          <w:r>
            <w:rPr>
              <w:b w:val="0"/>
              <w:bCs/>
              <w:sz w:val="12"/>
              <w:szCs w:val="12"/>
            </w:rPr>
            <w:t xml:space="preserve"> dofinansowano ze środków budżetu państwa, dotacja celowa przyznawana instytutom działającym w ramach Sieci Badawczej Łukasiewicz na podstawie umowy nr 6</w:t>
          </w:r>
          <w:r w:rsidRPr="00EB74DB">
            <w:rPr>
              <w:b w:val="0"/>
              <w:bCs/>
              <w:sz w:val="12"/>
              <w:szCs w:val="12"/>
            </w:rPr>
            <w:t>/Ł-PORT/CŁ/2021</w:t>
          </w:r>
        </w:p>
      </w:tc>
    </w:tr>
  </w:tbl>
  <w:p w14:paraId="59BF0A40" w14:textId="007DF6DF"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8240" behindDoc="1" locked="0" layoutInCell="1" allowOverlap="1" wp14:anchorId="3E192E22" wp14:editId="7B747B49">
          <wp:simplePos x="0" y="0"/>
          <wp:positionH relativeFrom="column">
            <wp:posOffset>66675</wp:posOffset>
          </wp:positionH>
          <wp:positionV relativeFrom="paragraph">
            <wp:posOffset>9319260</wp:posOffset>
          </wp:positionV>
          <wp:extent cx="7486650" cy="756285"/>
          <wp:effectExtent l="0" t="0" r="0" b="0"/>
          <wp:wrapNone/>
          <wp:docPr id="38650660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721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45971004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619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391004125" name="Obraz 1391004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59A9DEAA" w:rsidR="004D25F3" w:rsidRDefault="004D25F3" w:rsidP="00C45BEF">
    <w:pPr>
      <w:pStyle w:val="Stopka"/>
      <w:jc w:val="center"/>
    </w:pPr>
    <w:r w:rsidRPr="00DA52A1">
      <w:rPr>
        <w:noProof/>
        <w:lang w:eastAsia="pl-PL"/>
      </w:rPr>
      <w:drawing>
        <wp:anchor distT="0" distB="0" distL="114300" distR="114300" simplePos="0" relativeHeight="25166028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897945314" name="Obraz 1897945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926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6F28B53" w14:textId="77777777" w:rsidR="00C45BEF" w:rsidRDefault="00C45BEF" w:rsidP="0096049F">
            <w:pPr>
              <w:pStyle w:val="Stopka"/>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743"/>
            </w:tblGrid>
            <w:tr w:rsidR="00C45BEF" w14:paraId="47F04EB3" w14:textId="77777777" w:rsidTr="00C76BF7">
              <w:tc>
                <w:tcPr>
                  <w:tcW w:w="2410" w:type="dxa"/>
                  <w:tcBorders>
                    <w:right w:val="single" w:sz="12" w:space="0" w:color="7F7F7F" w:themeColor="background2" w:themeTint="80"/>
                  </w:tcBorders>
                </w:tcPr>
                <w:p w14:paraId="21D79345" w14:textId="77777777" w:rsidR="00C45BEF" w:rsidRDefault="00C45BEF" w:rsidP="00C45BEF">
                  <w:pPr>
                    <w:pStyle w:val="Stopka"/>
                    <w:ind w:left="-247" w:firstLine="247"/>
                  </w:pPr>
                  <w:r>
                    <w:rPr>
                      <w:noProof/>
                    </w:rPr>
                    <w:drawing>
                      <wp:anchor distT="0" distB="0" distL="114300" distR="114300" simplePos="0" relativeHeight="251677696" behindDoc="0" locked="0" layoutInCell="1" allowOverlap="1" wp14:anchorId="6907F72D" wp14:editId="71A2647E">
                        <wp:simplePos x="0" y="0"/>
                        <wp:positionH relativeFrom="column">
                          <wp:posOffset>-73025</wp:posOffset>
                        </wp:positionH>
                        <wp:positionV relativeFrom="paragraph">
                          <wp:posOffset>-46355</wp:posOffset>
                        </wp:positionV>
                        <wp:extent cx="1436827" cy="450850"/>
                        <wp:effectExtent l="0" t="0" r="0" b="6350"/>
                        <wp:wrapNone/>
                        <wp:docPr id="1225364613" name="Obraz 1225364613"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364613" name="Obraz 1225364613"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436827" cy="450850"/>
                                </a:xfrm>
                                <a:prstGeom prst="rect">
                                  <a:avLst/>
                                </a:prstGeom>
                              </pic:spPr>
                            </pic:pic>
                          </a:graphicData>
                        </a:graphic>
                      </wp:anchor>
                    </w:drawing>
                  </w:r>
                </w:p>
              </w:tc>
              <w:tc>
                <w:tcPr>
                  <w:tcW w:w="5743" w:type="dxa"/>
                  <w:tcBorders>
                    <w:left w:val="single" w:sz="12" w:space="0" w:color="7F7F7F" w:themeColor="background2" w:themeTint="80"/>
                  </w:tcBorders>
                  <w:vAlign w:val="center"/>
                </w:tcPr>
                <w:p w14:paraId="663986AB" w14:textId="77777777" w:rsidR="00C45BEF" w:rsidRPr="009C15F5" w:rsidRDefault="00C45BEF" w:rsidP="00C45BEF">
                  <w:pPr>
                    <w:pStyle w:val="Stopka"/>
                    <w:rPr>
                      <w:b w:val="0"/>
                      <w:bCs/>
                      <w:sz w:val="12"/>
                      <w:szCs w:val="12"/>
                    </w:rPr>
                  </w:pPr>
                  <w:r w:rsidRPr="00EB74DB">
                    <w:rPr>
                      <w:b w:val="0"/>
                      <w:bCs/>
                      <w:sz w:val="12"/>
                      <w:szCs w:val="12"/>
                    </w:rPr>
                    <w:t xml:space="preserve">Projekt </w:t>
                  </w:r>
                  <w:r>
                    <w:rPr>
                      <w:b w:val="0"/>
                      <w:bCs/>
                      <w:sz w:val="12"/>
                      <w:szCs w:val="12"/>
                    </w:rPr>
                    <w:t xml:space="preserve">pn. „ </w:t>
                  </w:r>
                  <w:r w:rsidRPr="00543DD5">
                    <w:rPr>
                      <w:b w:val="0"/>
                      <w:bCs/>
                      <w:sz w:val="12"/>
                      <w:szCs w:val="12"/>
                    </w:rPr>
                    <w:t>Identyfikacja i charakterystyka zakażeń wirusami i bakteriami opornymi na antybiotyki u pacjentów onkologicznych</w:t>
                  </w:r>
                  <w:r w:rsidRPr="00E32395">
                    <w:rPr>
                      <w:b w:val="0"/>
                      <w:bCs/>
                      <w:sz w:val="12"/>
                      <w:szCs w:val="12"/>
                    </w:rPr>
                    <w:t>"</w:t>
                  </w:r>
                  <w:r>
                    <w:rPr>
                      <w:b w:val="0"/>
                      <w:bCs/>
                      <w:sz w:val="12"/>
                      <w:szCs w:val="12"/>
                    </w:rPr>
                    <w:t xml:space="preserve"> dofinansowano ze środków budżetu państwa, dotacja celowa przyznawana instytutom działającym w ramach Sieci Badawczej Łukasiewicz na podstawie umowy nr 6</w:t>
                  </w:r>
                  <w:r w:rsidRPr="00EB74DB">
                    <w:rPr>
                      <w:b w:val="0"/>
                      <w:bCs/>
                      <w:sz w:val="12"/>
                      <w:szCs w:val="12"/>
                    </w:rPr>
                    <w:t>/Ł-PORT/CŁ/2021</w:t>
                  </w:r>
                </w:p>
              </w:tc>
            </w:tr>
          </w:tbl>
          <w:p w14:paraId="68E71B78" w14:textId="3B6AB019" w:rsidR="0096049F" w:rsidRDefault="0096049F" w:rsidP="0096049F">
            <w:pPr>
              <w:pStyle w:val="Stopka"/>
            </w:pPr>
          </w:p>
          <w:p w14:paraId="1D50ED0A" w14:textId="7AFF4FC8"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595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697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10446888" w:rsidR="00A4666C" w:rsidRDefault="00A4666C" w:rsidP="00A4666C">
                          <w:pPr>
                            <w:pStyle w:val="LukStopka-adres"/>
                          </w:pPr>
                          <w:r>
                            <w:t xml:space="preserve">54-066 Wrocław, ul. Stabłowicka 147, Tel: +48 71 734 77 77, </w:t>
                          </w:r>
                        </w:p>
                        <w:p w14:paraId="7240C641" w14:textId="2901DFEB" w:rsidR="00A4666C" w:rsidRPr="00EC2B4A" w:rsidRDefault="00A4666C" w:rsidP="00A4666C">
                          <w:pPr>
                            <w:pStyle w:val="LukStopka-adres"/>
                          </w:pPr>
                          <w:r w:rsidRPr="00EC2B4A">
                            <w:t>E-mail: biuro@port.</w:t>
                          </w:r>
                          <w:r w:rsidR="0039324B" w:rsidRPr="00EC2B4A">
                            <w:t>lukasiewicz.gov</w:t>
                          </w:r>
                          <w:r w:rsidRPr="00EC2B4A">
                            <w:t xml:space="preserve">.pl | NIP: 894 314 05 23, REGON: </w:t>
                          </w:r>
                          <w:r w:rsidR="00274A7A" w:rsidRPr="00EC2B4A">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10446888" w:rsidR="00A4666C" w:rsidRDefault="00A4666C" w:rsidP="00A4666C">
                    <w:pPr>
                      <w:pStyle w:val="LukStopka-adres"/>
                    </w:pPr>
                    <w:r>
                      <w:t xml:space="preserve">54-066 Wrocław, ul. Stabłowicka 147, Tel: +48 71 734 77 77, </w:t>
                    </w:r>
                  </w:p>
                  <w:p w14:paraId="7240C641" w14:textId="2901DFEB" w:rsidR="00A4666C" w:rsidRPr="00EC2B4A" w:rsidRDefault="00A4666C" w:rsidP="00A4666C">
                    <w:pPr>
                      <w:pStyle w:val="LukStopka-adres"/>
                    </w:pPr>
                    <w:r w:rsidRPr="00EC2B4A">
                      <w:t>E-mail: biuro@port.</w:t>
                    </w:r>
                    <w:r w:rsidR="0039324B" w:rsidRPr="00EC2B4A">
                      <w:t>lukasiewicz.gov</w:t>
                    </w:r>
                    <w:r w:rsidRPr="00EC2B4A">
                      <w:t xml:space="preserve">.pl | NIP: 894 314 05 23, REGON: </w:t>
                    </w:r>
                    <w:r w:rsidR="00274A7A" w:rsidRPr="00EC2B4A">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390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492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6D781B7" w14:textId="77777777" w:rsidR="00C45BEF" w:rsidRPr="00B26802" w:rsidRDefault="00C45BEF">
            <w:pPr>
              <w:pStyle w:val="Stopka"/>
              <w:rPr>
                <w:b w:val="0"/>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743"/>
            </w:tblGrid>
            <w:tr w:rsidR="00C45BEF" w14:paraId="4B0B2F53" w14:textId="77777777" w:rsidTr="00C76BF7">
              <w:tc>
                <w:tcPr>
                  <w:tcW w:w="2410" w:type="dxa"/>
                  <w:tcBorders>
                    <w:right w:val="single" w:sz="12" w:space="0" w:color="7F7F7F" w:themeColor="background2" w:themeTint="80"/>
                  </w:tcBorders>
                </w:tcPr>
                <w:p w14:paraId="04982AD1" w14:textId="77777777" w:rsidR="00C45BEF" w:rsidRDefault="00C45BEF" w:rsidP="00C45BEF">
                  <w:pPr>
                    <w:pStyle w:val="Stopka"/>
                    <w:ind w:left="-247" w:firstLine="247"/>
                  </w:pPr>
                  <w:r>
                    <w:rPr>
                      <w:noProof/>
                    </w:rPr>
                    <w:drawing>
                      <wp:anchor distT="0" distB="0" distL="114300" distR="114300" simplePos="0" relativeHeight="251681792" behindDoc="0" locked="0" layoutInCell="1" allowOverlap="1" wp14:anchorId="0723507B" wp14:editId="70D3438A">
                        <wp:simplePos x="0" y="0"/>
                        <wp:positionH relativeFrom="column">
                          <wp:posOffset>-73025</wp:posOffset>
                        </wp:positionH>
                        <wp:positionV relativeFrom="paragraph">
                          <wp:posOffset>-46355</wp:posOffset>
                        </wp:positionV>
                        <wp:extent cx="1436827" cy="450850"/>
                        <wp:effectExtent l="0" t="0" r="0" b="6350"/>
                        <wp:wrapNone/>
                        <wp:docPr id="114985026" name="Obraz 114985026"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85026" name="Obraz 114985026"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436827" cy="450850"/>
                                </a:xfrm>
                                <a:prstGeom prst="rect">
                                  <a:avLst/>
                                </a:prstGeom>
                              </pic:spPr>
                            </pic:pic>
                          </a:graphicData>
                        </a:graphic>
                      </wp:anchor>
                    </w:drawing>
                  </w:r>
                </w:p>
              </w:tc>
              <w:tc>
                <w:tcPr>
                  <w:tcW w:w="5743" w:type="dxa"/>
                  <w:tcBorders>
                    <w:left w:val="single" w:sz="12" w:space="0" w:color="7F7F7F" w:themeColor="background2" w:themeTint="80"/>
                  </w:tcBorders>
                  <w:vAlign w:val="center"/>
                </w:tcPr>
                <w:p w14:paraId="5CAF4587" w14:textId="77777777" w:rsidR="00C45BEF" w:rsidRPr="009C15F5" w:rsidRDefault="00C45BEF" w:rsidP="00C45BEF">
                  <w:pPr>
                    <w:pStyle w:val="Stopka"/>
                    <w:rPr>
                      <w:b w:val="0"/>
                      <w:bCs/>
                      <w:sz w:val="12"/>
                      <w:szCs w:val="12"/>
                    </w:rPr>
                  </w:pPr>
                  <w:r w:rsidRPr="00EB74DB">
                    <w:rPr>
                      <w:b w:val="0"/>
                      <w:bCs/>
                      <w:sz w:val="12"/>
                      <w:szCs w:val="12"/>
                    </w:rPr>
                    <w:t xml:space="preserve">Projekt </w:t>
                  </w:r>
                  <w:r>
                    <w:rPr>
                      <w:b w:val="0"/>
                      <w:bCs/>
                      <w:sz w:val="12"/>
                      <w:szCs w:val="12"/>
                    </w:rPr>
                    <w:t xml:space="preserve">pn. „ </w:t>
                  </w:r>
                  <w:r w:rsidRPr="00543DD5">
                    <w:rPr>
                      <w:b w:val="0"/>
                      <w:bCs/>
                      <w:sz w:val="12"/>
                      <w:szCs w:val="12"/>
                    </w:rPr>
                    <w:t>Identyfikacja i charakterystyka zakażeń wirusami i bakteriami opornymi na antybiotyki u pacjentów onkologicznych</w:t>
                  </w:r>
                  <w:r w:rsidRPr="00E32395">
                    <w:rPr>
                      <w:b w:val="0"/>
                      <w:bCs/>
                      <w:sz w:val="12"/>
                      <w:szCs w:val="12"/>
                    </w:rPr>
                    <w:t>"</w:t>
                  </w:r>
                  <w:r>
                    <w:rPr>
                      <w:b w:val="0"/>
                      <w:bCs/>
                      <w:sz w:val="12"/>
                      <w:szCs w:val="12"/>
                    </w:rPr>
                    <w:t xml:space="preserve"> dofinansowano ze środków budżetu państwa, dotacja celowa przyznawana instytutom działającym w ramach Sieci Badawczej Łukasiewicz na podstawie umowy nr 6</w:t>
                  </w:r>
                  <w:r w:rsidRPr="00EB74DB">
                    <w:rPr>
                      <w:b w:val="0"/>
                      <w:bCs/>
                      <w:sz w:val="12"/>
                      <w:szCs w:val="12"/>
                    </w:rPr>
                    <w:t>/Ł-PORT/CŁ/2021</w:t>
                  </w:r>
                </w:p>
              </w:tc>
            </w:tr>
          </w:tbl>
          <w:p w14:paraId="65A085EF" w14:textId="3F1AEA8A"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233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540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49F2992E" w:rsidR="006C5337" w:rsidRDefault="006C5337" w:rsidP="00A4666C">
                          <w:pPr>
                            <w:pStyle w:val="LukStopka-adres"/>
                          </w:pPr>
                          <w:r>
                            <w:t xml:space="preserve">54-066 Wrocław, ul. Stabłowicka 147, Tel: +48 71 734 77 77, </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49F2992E" w:rsidR="006C5337" w:rsidRDefault="006C5337" w:rsidP="00A4666C">
                    <w:pPr>
                      <w:pStyle w:val="LukStopka-adres"/>
                    </w:pPr>
                    <w:r>
                      <w:t xml:space="preserve">54-066 Wrocław, ul. Stabłowicka 147, Tel: +48 71 734 77 77, </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743"/>
    </w:tblGrid>
    <w:tr w:rsidR="00C45BEF" w14:paraId="7355DB2B" w14:textId="77777777" w:rsidTr="00C76BF7">
      <w:tc>
        <w:tcPr>
          <w:tcW w:w="2410" w:type="dxa"/>
          <w:tcBorders>
            <w:right w:val="single" w:sz="12" w:space="0" w:color="7F7F7F" w:themeColor="background2" w:themeTint="80"/>
          </w:tcBorders>
        </w:tcPr>
        <w:p w14:paraId="1D8366D8" w14:textId="77777777" w:rsidR="00C45BEF" w:rsidRDefault="00C45BEF" w:rsidP="00C45BEF">
          <w:pPr>
            <w:pStyle w:val="Stopka"/>
            <w:ind w:left="-247" w:firstLine="247"/>
          </w:pPr>
          <w:r>
            <w:rPr>
              <w:noProof/>
            </w:rPr>
            <w:drawing>
              <wp:anchor distT="0" distB="0" distL="114300" distR="114300" simplePos="0" relativeHeight="251679744" behindDoc="0" locked="0" layoutInCell="1" allowOverlap="1" wp14:anchorId="3FC60612" wp14:editId="2AE3A759">
                <wp:simplePos x="0" y="0"/>
                <wp:positionH relativeFrom="column">
                  <wp:posOffset>-73025</wp:posOffset>
                </wp:positionH>
                <wp:positionV relativeFrom="paragraph">
                  <wp:posOffset>-46355</wp:posOffset>
                </wp:positionV>
                <wp:extent cx="1436827" cy="450850"/>
                <wp:effectExtent l="0" t="0" r="0" b="6350"/>
                <wp:wrapNone/>
                <wp:docPr id="766902003" name="Obraz 766902003"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902003" name="Obraz 766902003"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436827" cy="450850"/>
                        </a:xfrm>
                        <a:prstGeom prst="rect">
                          <a:avLst/>
                        </a:prstGeom>
                      </pic:spPr>
                    </pic:pic>
                  </a:graphicData>
                </a:graphic>
              </wp:anchor>
            </w:drawing>
          </w:r>
        </w:p>
      </w:tc>
      <w:tc>
        <w:tcPr>
          <w:tcW w:w="5743" w:type="dxa"/>
          <w:tcBorders>
            <w:left w:val="single" w:sz="12" w:space="0" w:color="7F7F7F" w:themeColor="background2" w:themeTint="80"/>
          </w:tcBorders>
          <w:vAlign w:val="center"/>
        </w:tcPr>
        <w:p w14:paraId="550D1E72" w14:textId="77777777" w:rsidR="00C45BEF" w:rsidRPr="009C15F5" w:rsidRDefault="00C45BEF" w:rsidP="00C45BEF">
          <w:pPr>
            <w:pStyle w:val="Stopka"/>
            <w:rPr>
              <w:b w:val="0"/>
              <w:bCs/>
              <w:sz w:val="12"/>
              <w:szCs w:val="12"/>
            </w:rPr>
          </w:pPr>
          <w:r w:rsidRPr="00EB74DB">
            <w:rPr>
              <w:b w:val="0"/>
              <w:bCs/>
              <w:sz w:val="12"/>
              <w:szCs w:val="12"/>
            </w:rPr>
            <w:t xml:space="preserve">Projekt </w:t>
          </w:r>
          <w:r>
            <w:rPr>
              <w:b w:val="0"/>
              <w:bCs/>
              <w:sz w:val="12"/>
              <w:szCs w:val="12"/>
            </w:rPr>
            <w:t xml:space="preserve">pn. „ </w:t>
          </w:r>
          <w:r w:rsidRPr="00543DD5">
            <w:rPr>
              <w:b w:val="0"/>
              <w:bCs/>
              <w:sz w:val="12"/>
              <w:szCs w:val="12"/>
            </w:rPr>
            <w:t>Identyfikacja i charakterystyka zakażeń wirusami i bakteriami opornymi na antybiotyki u pacjentów onkologicznych</w:t>
          </w:r>
          <w:r w:rsidRPr="00E32395">
            <w:rPr>
              <w:b w:val="0"/>
              <w:bCs/>
              <w:sz w:val="12"/>
              <w:szCs w:val="12"/>
            </w:rPr>
            <w:t>"</w:t>
          </w:r>
          <w:r>
            <w:rPr>
              <w:b w:val="0"/>
              <w:bCs/>
              <w:sz w:val="12"/>
              <w:szCs w:val="12"/>
            </w:rPr>
            <w:t xml:space="preserve"> dofinansowano ze środków budżetu państwa, dotacja celowa przyznawana instytutom działającym w ramach Sieci Badawczej Łukasiewicz na podstawie umowy nr 6</w:t>
          </w:r>
          <w:r w:rsidRPr="00EB74DB">
            <w:rPr>
              <w:b w:val="0"/>
              <w:bCs/>
              <w:sz w:val="12"/>
              <w:szCs w:val="12"/>
            </w:rPr>
            <w:t>/Ł-PORT/CŁ/2021</w:t>
          </w:r>
        </w:p>
      </w:tc>
    </w:tr>
  </w:tbl>
  <w:p w14:paraId="7B87B591" w14:textId="59C2B415" w:rsidR="006C5337" w:rsidRDefault="006C5337" w:rsidP="00D40690">
    <w:pPr>
      <w:pStyle w:val="Stopka"/>
    </w:pP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27830BC1"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131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336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600564A3"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54-066 Wrocław, ul. Stabłowicka 147, Tel: +48 71 734 77 77, </w:t>
                          </w:r>
                        </w:p>
                        <w:p w14:paraId="33B96C7C" w14:textId="77777777" w:rsidR="006C5337" w:rsidRPr="00EC2B4A" w:rsidRDefault="006C5337" w:rsidP="00B5768B">
                          <w:pPr>
                            <w:spacing w:after="0" w:line="170" w:lineRule="exact"/>
                            <w:rPr>
                              <w:rFonts w:ascii="Verdana" w:eastAsia="Verdana" w:hAnsi="Verdana" w:cs="Times New Roman"/>
                              <w:noProof/>
                              <w:color w:val="808080"/>
                              <w:sz w:val="14"/>
                              <w:szCs w:val="14"/>
                            </w:rPr>
                          </w:pPr>
                          <w:r w:rsidRPr="00EC2B4A">
                            <w:rPr>
                              <w:rFonts w:ascii="Verdana" w:eastAsia="Verdana" w:hAnsi="Verdana" w:cs="Times New Roman"/>
                              <w:noProof/>
                              <w:color w:val="808080"/>
                              <w:sz w:val="14"/>
                              <w:szCs w:val="14"/>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600564A3"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54-066 Wrocław, ul. Stabłowicka 147, Tel: +48 71 734 77 77, </w:t>
                    </w:r>
                  </w:p>
                  <w:p w14:paraId="33B96C7C" w14:textId="77777777" w:rsidR="006C5337" w:rsidRPr="00EC2B4A" w:rsidRDefault="006C5337" w:rsidP="00B5768B">
                    <w:pPr>
                      <w:spacing w:after="0" w:line="170" w:lineRule="exact"/>
                      <w:rPr>
                        <w:rFonts w:ascii="Verdana" w:eastAsia="Verdana" w:hAnsi="Verdana" w:cs="Times New Roman"/>
                        <w:noProof/>
                        <w:color w:val="808080"/>
                        <w:sz w:val="14"/>
                        <w:szCs w:val="14"/>
                      </w:rPr>
                    </w:pPr>
                    <w:r w:rsidRPr="00EC2B4A">
                      <w:rPr>
                        <w:rFonts w:ascii="Verdana" w:eastAsia="Verdana" w:hAnsi="Verdana" w:cs="Times New Roman"/>
                        <w:noProof/>
                        <w:color w:val="808080"/>
                        <w:sz w:val="14"/>
                        <w:szCs w:val="14"/>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5E3C" w14:textId="77777777" w:rsidR="00654E42" w:rsidRDefault="00654E42" w:rsidP="006747BD">
      <w:pPr>
        <w:spacing w:after="0" w:line="240" w:lineRule="auto"/>
      </w:pPr>
      <w:r>
        <w:separator/>
      </w:r>
    </w:p>
  </w:footnote>
  <w:footnote w:type="continuationSeparator" w:id="0">
    <w:p w14:paraId="43BA3642" w14:textId="77777777" w:rsidR="00654E42" w:rsidRDefault="00654E42"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C45BEF">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25" type="#_x0000_t75" style="position:absolute;left:0;text-align:left;margin-left:0;margin-top:0;width:595.45pt;height:842.05pt;z-index:-25164492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312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4902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4800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438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2598C"/>
    <w:rsid w:val="00070438"/>
    <w:rsid w:val="000735EB"/>
    <w:rsid w:val="00077647"/>
    <w:rsid w:val="00080147"/>
    <w:rsid w:val="000D57ED"/>
    <w:rsid w:val="000E595C"/>
    <w:rsid w:val="0010183B"/>
    <w:rsid w:val="00134929"/>
    <w:rsid w:val="00161ECE"/>
    <w:rsid w:val="00170C56"/>
    <w:rsid w:val="001A0BD2"/>
    <w:rsid w:val="001B02E2"/>
    <w:rsid w:val="0021691E"/>
    <w:rsid w:val="00231524"/>
    <w:rsid w:val="00250A53"/>
    <w:rsid w:val="002630B3"/>
    <w:rsid w:val="00274A7A"/>
    <w:rsid w:val="002A2DD2"/>
    <w:rsid w:val="002A48E3"/>
    <w:rsid w:val="002B3206"/>
    <w:rsid w:val="002D48BE"/>
    <w:rsid w:val="002E6EDE"/>
    <w:rsid w:val="002F4540"/>
    <w:rsid w:val="00316E01"/>
    <w:rsid w:val="00322D0E"/>
    <w:rsid w:val="00323B4E"/>
    <w:rsid w:val="003333A6"/>
    <w:rsid w:val="00335F9F"/>
    <w:rsid w:val="00343462"/>
    <w:rsid w:val="00346C00"/>
    <w:rsid w:val="00354204"/>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F5805"/>
    <w:rsid w:val="004F6599"/>
    <w:rsid w:val="0051125E"/>
    <w:rsid w:val="00526CDD"/>
    <w:rsid w:val="00583628"/>
    <w:rsid w:val="005D102F"/>
    <w:rsid w:val="005D1495"/>
    <w:rsid w:val="005F25C1"/>
    <w:rsid w:val="00614B12"/>
    <w:rsid w:val="00654E42"/>
    <w:rsid w:val="006747BD"/>
    <w:rsid w:val="006919BD"/>
    <w:rsid w:val="006B3129"/>
    <w:rsid w:val="006B6591"/>
    <w:rsid w:val="006B70F7"/>
    <w:rsid w:val="006C5337"/>
    <w:rsid w:val="006D6DE5"/>
    <w:rsid w:val="006E5990"/>
    <w:rsid w:val="006F645A"/>
    <w:rsid w:val="00706814"/>
    <w:rsid w:val="0073413F"/>
    <w:rsid w:val="0074622B"/>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AA59E7"/>
    <w:rsid w:val="00B61F8A"/>
    <w:rsid w:val="00B734A1"/>
    <w:rsid w:val="00B86E8F"/>
    <w:rsid w:val="00BB0176"/>
    <w:rsid w:val="00BC1FCE"/>
    <w:rsid w:val="00BD4FC1"/>
    <w:rsid w:val="00BE2024"/>
    <w:rsid w:val="00C16E39"/>
    <w:rsid w:val="00C22015"/>
    <w:rsid w:val="00C45BEF"/>
    <w:rsid w:val="00C536C0"/>
    <w:rsid w:val="00C736D5"/>
    <w:rsid w:val="00C74519"/>
    <w:rsid w:val="00C906A1"/>
    <w:rsid w:val="00C97E75"/>
    <w:rsid w:val="00CB4281"/>
    <w:rsid w:val="00CD4424"/>
    <w:rsid w:val="00D005B3"/>
    <w:rsid w:val="00D046E4"/>
    <w:rsid w:val="00D06D36"/>
    <w:rsid w:val="00D229BC"/>
    <w:rsid w:val="00D25E3D"/>
    <w:rsid w:val="00D40690"/>
    <w:rsid w:val="00D927C7"/>
    <w:rsid w:val="00DA52A1"/>
    <w:rsid w:val="00DA6873"/>
    <w:rsid w:val="00DC3524"/>
    <w:rsid w:val="00E036DA"/>
    <w:rsid w:val="00E47EE0"/>
    <w:rsid w:val="00E66CD0"/>
    <w:rsid w:val="00E915F1"/>
    <w:rsid w:val="00EC2B4A"/>
    <w:rsid w:val="00ED7972"/>
    <w:rsid w:val="00EE493C"/>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3.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E1D8D-5530-4390-AEE8-93C37399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56</TotalTime>
  <Pages>25</Pages>
  <Words>8696</Words>
  <Characters>52182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odczynników do detekcji oraz diagnostyki na podstawie umowy ramowej</dc:subject>
  <dc:creator>Katarzyna Wolynska</dc:creator>
  <cp:keywords/>
  <dc:description/>
  <cp:lastModifiedBy>Marzena Krzymińska | Łukasiewicz – PORT</cp:lastModifiedBy>
  <cp:revision>28</cp:revision>
  <cp:lastPrinted>2020-02-07T19:43:00Z</cp:lastPrinted>
  <dcterms:created xsi:type="dcterms:W3CDTF">2023-06-21T08:51:00Z</dcterms:created>
  <dcterms:modified xsi:type="dcterms:W3CDTF">2024-05-31T12:44:00Z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