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 nr 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WYMAGANIA EKSPLOATACYJNO-TECHNICZNE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PODNO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ŚNIK LEKKICH FIGUR BOJOWYCH TYPU PPL-2A/P (wersja WSB-04)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lub 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ównowa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żny</w:t>
      </w:r>
    </w:p>
    <w:p>
      <w:pPr>
        <w:numPr>
          <w:ilvl w:val="0"/>
          <w:numId w:val="5"/>
        </w:numPr>
        <w:tabs>
          <w:tab w:val="left" w:pos="600" w:leader="none"/>
          <w:tab w:val="left" w:pos="960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Ilo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ść: </w:t>
      </w:r>
    </w:p>
    <w:p>
      <w:pPr>
        <w:numPr>
          <w:ilvl w:val="0"/>
          <w:numId w:val="5"/>
        </w:numPr>
        <w:tabs>
          <w:tab w:val="left" w:pos="960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Informacja o znaczeniu wyrobu (us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ługi) dla bezpieczeństwa RP. </w:t>
      </w:r>
    </w:p>
    <w:p>
      <w:pPr>
        <w:tabs>
          <w:tab w:val="left" w:pos="96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Nie stanowi wyrobu o podstawowym znaczeniu dla bezpiecze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ństwa państwa.</w:t>
      </w:r>
    </w:p>
    <w:p>
      <w:pPr>
        <w:tabs>
          <w:tab w:val="left" w:pos="96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960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FFFFFF" w:val="clear"/>
        </w:rPr>
        <w:t xml:space="preserve">Przedmiot zamówienia.</w:t>
      </w:r>
    </w:p>
    <w:p>
      <w:pPr>
        <w:tabs>
          <w:tab w:val="left" w:pos="9600" w:leader="none"/>
        </w:tabs>
        <w:spacing w:before="24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-4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FFFFFF" w:val="clear"/>
        </w:rPr>
        <w:t xml:space="preserve">3.1 Przeznaczenie wyrobu:</w:t>
      </w:r>
    </w:p>
    <w:p>
      <w:pPr>
        <w:tabs>
          <w:tab w:val="left" w:pos="960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lekkich figur bojowych typu PPL-2A/P wersja WSB-04 (lub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ównowa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żny)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  <w:t xml:space="preserve">jest przeznaczony do wsparcia procesu szkolenia  poprzez zdalne ukazywanie i chowanie figur bojowych oraz przesyłanie informacji zwrotnej o trafieniu figury. Musi być przystosowany do sterowania przewodowego i bezprzewodowego. Podnośnik stanowi bazowy element wykonawczy dla określonych typ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  <w:t xml:space="preserve">ów celu poligonowego jak i garnizonowych strzelnic i placów szkolenia SZ RP.</w:t>
      </w:r>
    </w:p>
    <w:p>
      <w:pPr>
        <w:tabs>
          <w:tab w:val="left" w:pos="9600" w:leader="none"/>
        </w:tabs>
        <w:spacing w:before="24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3.2 Parametry techniczne:</w:t>
      </w:r>
    </w:p>
    <w:p>
      <w:pPr>
        <w:numPr>
          <w:ilvl w:val="0"/>
          <w:numId w:val="1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napi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ęcie zasilania 24V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±pr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ądu stałego z zasilacza prądu stałego z układem filtrującym lub akumulatora (zespołu akumulator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ów) o pojemno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 min. 190Ah.;</w:t>
      </w:r>
    </w:p>
    <w:p>
      <w:pPr>
        <w:numPr>
          <w:ilvl w:val="0"/>
          <w:numId w:val="1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max. moment obci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ążający wał podnośnika 150 Nm;</w:t>
      </w:r>
    </w:p>
    <w:p>
      <w:pPr>
        <w:numPr>
          <w:ilvl w:val="0"/>
          <w:numId w:val="1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max. pobór 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ądu przy obciążeniu dopuszczalnym momentem: I=12A, podczas rozruchu I= ok. 16 A;</w:t>
      </w:r>
    </w:p>
    <w:p>
      <w:pPr>
        <w:numPr>
          <w:ilvl w:val="0"/>
          <w:numId w:val="1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max. czas podnoszenia (ukazywania) figury bojowej 6s+15%;</w:t>
      </w:r>
    </w:p>
    <w:p>
      <w:pPr>
        <w:numPr>
          <w:ilvl w:val="0"/>
          <w:numId w:val="1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sygna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 sterujący: impuls elektryczny Us=3-15V;</w:t>
      </w:r>
    </w:p>
    <w:p>
      <w:pPr>
        <w:numPr>
          <w:ilvl w:val="0"/>
          <w:numId w:val="1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czas trwania impulsu do 200ms.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śnik musi posiadać:</w:t>
      </w:r>
    </w:p>
    <w:p>
      <w:pPr>
        <w:numPr>
          <w:ilvl w:val="0"/>
          <w:numId w:val="14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ście/wyjście CZUJNIK TRAFIEŃ: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stan normalny (zwarcie zacisków 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ściowych);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stan aktywny (rozwarcie zacisków 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ściowych);</w:t>
      </w:r>
    </w:p>
    <w:p>
      <w:pPr>
        <w:numPr>
          <w:ilvl w:val="0"/>
          <w:numId w:val="14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ście/wyjście SYGNALIZATORA TRAFIEŃ: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rozwarcie linii by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ło trafienie;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zwarcie linii nie by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ło trafienia;</w:t>
      </w:r>
    </w:p>
    <w:p>
      <w:pPr>
        <w:numPr>
          <w:ilvl w:val="0"/>
          <w:numId w:val="14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 IMITATOR OGNIA: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U = 24V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+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ęstotliwość przebiegu 0,5-1,5 Hz (30-90 błysk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na minut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ę);</w:t>
      </w:r>
    </w:p>
    <w:p>
      <w:pPr>
        <w:numPr>
          <w:ilvl w:val="0"/>
          <w:numId w:val="14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 OŚWIETLENIE CELU: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U = 24V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+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14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ście/wyjście TARCZA KONTAKTOWA: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napi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ęcie na zaciskach przy ich rozwarciu: 4V +-15%;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rezystancja traktowana jako zwarcie: 40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±20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14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czas trwania zwarcia minimum 1 µs.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będzie pracował w zakresie temperatury -25 do +40 stopni C.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będzie spełniał wymagania w zakresie ograniczeń co do wymiar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zewn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ętrznych i wagi:</w:t>
      </w:r>
    </w:p>
    <w:p>
      <w:pPr>
        <w:numPr>
          <w:ilvl w:val="0"/>
          <w:numId w:val="25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wymiary gabarytowe: </w:t>
      </w:r>
    </w:p>
    <w:p>
      <w:pPr>
        <w:numPr>
          <w:ilvl w:val="0"/>
          <w:numId w:val="25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podstawa 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śnika nie może przekroczyć wymiar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ów: </w:t>
        <w:br/>
        <w:t xml:space="preserve">720 mm x 450 mm;</w:t>
      </w:r>
    </w:p>
    <w:p>
      <w:pPr>
        <w:numPr>
          <w:ilvl w:val="0"/>
          <w:numId w:val="25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wysoko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ść podnośnika: do 200 mm;</w:t>
      </w:r>
    </w:p>
    <w:p>
      <w:pPr>
        <w:numPr>
          <w:ilvl w:val="0"/>
          <w:numId w:val="25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masa: do 56 kg.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3.3 Parametry eksploatacyjne: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Podnoszenie i opuszczanie figury bojowej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ędzie realizowane przez:</w:t>
      </w:r>
    </w:p>
    <w:p>
      <w:pPr>
        <w:numPr>
          <w:ilvl w:val="0"/>
          <w:numId w:val="3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pulpity przewodowe typu WPS-2A, WPS-2M, AGAT/M-SZMARAGD/M;</w:t>
      </w:r>
    </w:p>
    <w:p>
      <w:pPr>
        <w:numPr>
          <w:ilvl w:val="0"/>
          <w:numId w:val="3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pulpity bezprzewodowe typu WSB-03 po zainstalowaniu przystawki zewn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ętrznej do bezprzewodowego sterowania typu WPR-85 lub 90 (PSP-90) oraz po zainstalowaniu bezpośrednio w niszę obudowy podnośnika wkładki odbiorczej typu   WSB-03/WO/M;</w:t>
      </w:r>
    </w:p>
    <w:p>
      <w:pPr>
        <w:numPr>
          <w:ilvl w:val="0"/>
          <w:numId w:val="3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pulpity bezprzewodowe typu WSB-04 po zainstalowaniu w nisz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 obudowy </w:t>
        <w:br/>
        <w:t xml:space="preserve">podnośnika przystawki typu PPE95/M;</w:t>
      </w:r>
    </w:p>
    <w:p>
      <w:pPr>
        <w:numPr>
          <w:ilvl w:val="0"/>
          <w:numId w:val="3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niezale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żny sygnał opuszczenia po trafieniu materiału celu, w zależności od rodzaju figury bojowej,  pochodzący z samej figury lub czujnika trafień przetwarzającego energię lotu pocisku na sygnał elektryczny sterujący elementem wykonawczym podnośnika.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musi zapewniać wsp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łpracę:</w:t>
      </w:r>
    </w:p>
    <w:p>
      <w:pPr>
        <w:numPr>
          <w:ilvl w:val="0"/>
          <w:numId w:val="3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 czujnikami trafie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 stosowanymi na obiektach bazy poligonowej </w:t>
        <w:br/>
        <w:t xml:space="preserve">i garnizonowej Sił Zbrojnych np. WCI-01, WCB-02 oraz wszystkimi odmianami tarcz kontaktowych,</w:t>
      </w:r>
    </w:p>
    <w:p>
      <w:pPr>
        <w:numPr>
          <w:ilvl w:val="0"/>
          <w:numId w:val="3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świetlnymi imitatorami ognia, </w:t>
      </w:r>
    </w:p>
    <w:p>
      <w:pPr>
        <w:numPr>
          <w:ilvl w:val="0"/>
          <w:numId w:val="3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 wyposa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żeniem dodatkowym celu do podświetlania figur bojowych, promiennikami podczerwieni.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lekkich figur bojowych mysi umożliwiać pracę przy podłączeniu pojedynczo lub w grupach od 2 do 5 sztuk, przy odległości między podnośnikami do 6 m z zachowaniem parametr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technicznych pojedynczego urz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ądzenia.</w:t>
      </w:r>
    </w:p>
    <w:p>
      <w:pPr>
        <w:numPr>
          <w:ilvl w:val="0"/>
          <w:numId w:val="34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co do oceny zgodno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ści wyrobu.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Wyrób podlega ocenie zgodno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ści w trybie I (pierwszym) w myśl zapis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ów ustawy </w:t>
        <w:br/>
        <w:t xml:space="preserve">z dnia 17 listopada 2006 r. o systemie oceny zgodno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ści wyrob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ów przeznaczonych na potrzeby obronno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ści i bezpieczeństwa państwa (Dz. U. Nr 235 poz. 1700 </w:t>
        <w:br/>
        <w:t xml:space="preserve">z p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ó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źn. zm.).</w:t>
      </w:r>
    </w:p>
    <w:p>
      <w:pPr>
        <w:numPr>
          <w:ilvl w:val="0"/>
          <w:numId w:val="36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Wymagania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ące ochrony informacji niejawnych.</w:t>
      </w:r>
    </w:p>
    <w:p>
      <w:pPr>
        <w:spacing w:before="0" w:after="0" w:line="240"/>
        <w:ind w:right="0" w:left="590" w:hanging="23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  <w:t xml:space="preserve">Wyrób jawny.</w:t>
      </w:r>
    </w:p>
    <w:p>
      <w:pPr>
        <w:numPr>
          <w:ilvl w:val="0"/>
          <w:numId w:val="38"/>
        </w:numPr>
        <w:tabs>
          <w:tab w:val="left" w:pos="360" w:leader="none"/>
        </w:tabs>
        <w:spacing w:before="240" w:after="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w zakresie jako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ści wyrobu.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Wed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ług właściwego załącznika</w:t>
      </w:r>
    </w:p>
    <w:p>
      <w:pPr>
        <w:numPr>
          <w:ilvl w:val="0"/>
          <w:numId w:val="40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gwarancyjne oraz w zakresie serwisowania.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5"/>
          <w:position w:val="0"/>
          <w:sz w:val="24"/>
          <w:shd w:fill="FFFFFF" w:val="clear"/>
        </w:rPr>
        <w:t xml:space="preserve">Na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urz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ądzenie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FFFFFF" w:val="clear"/>
        </w:rPr>
        <w:t xml:space="preserve"> wykonawca udzieli gwarancji na okres 24 miesięcy, licząc od daty 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FFFFFF" w:val="clear"/>
        </w:rPr>
        <w:t xml:space="preserve">podpisania protokołu przyjęcia-przekazania przez przedstawicieli Wykonawcy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FFFFFF" w:val="clear"/>
        </w:rPr>
        <w:t xml:space="preserve">i przedstawicieli Zamawiającego. Gwarancja będzie obejmować wszystkie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zespoły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urządzenia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 oraz jego wyposażenie.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Gwarancja b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ędzie obejmować wszystkie elementy składowe sprzętu, 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zar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ówno wyprodukowane i naprawiane przez Wykonawc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ę, jak r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ównie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ż nabyte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oraz naprawiane przez kooperant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8"/>
          <w:position w:val="0"/>
          <w:sz w:val="24"/>
          <w:shd w:fill="FFFFFF" w:val="clear"/>
        </w:rPr>
        <w:t xml:space="preserve">Maksymalny czas, w jakim uszkodzone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urz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ądzenie</w:t>
      </w:r>
      <w:r>
        <w:rPr>
          <w:rFonts w:ascii="Arial" w:hAnsi="Arial" w:cs="Arial" w:eastAsia="Arial"/>
          <w:color w:val="auto"/>
          <w:spacing w:val="8"/>
          <w:position w:val="0"/>
          <w:sz w:val="24"/>
          <w:shd w:fill="FFFFFF" w:val="clear"/>
        </w:rPr>
        <w:t xml:space="preserve"> będzie naprawione </w:t>
        <w:br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w ramach gwarancji, wynosi:</w:t>
      </w:r>
    </w:p>
    <w:p>
      <w:pPr>
        <w:numPr>
          <w:ilvl w:val="0"/>
          <w:numId w:val="4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przypadku wykonawcy krajowego do 14 dni roboczych, licz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 od daty otrzymania protokołu reklamacji;</w:t>
      </w:r>
    </w:p>
    <w:p>
      <w:pPr>
        <w:numPr>
          <w:ilvl w:val="0"/>
          <w:numId w:val="4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przypadku wykonawcy zagranicznego do 21 dni roboczych, licz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ąc od daty otrzymania protokołu reklamacji.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Serwisowanie wyrobu zgodnie z zaleceniami producenta wynikaj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ącymi </w:t>
        <w:br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z warunk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ów gwarancji. Wszelkie kosztu serwisowania, przegl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ąd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ów i inne </w:t>
        <w:br/>
        <w:t xml:space="preserve">w okresie gwarancji obci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ążają Wykonawcę.</w:t>
      </w:r>
    </w:p>
    <w:p>
      <w:pPr>
        <w:numPr>
          <w:ilvl w:val="0"/>
          <w:numId w:val="44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Wymagania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ące kodyfikacji.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46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w zakresie dozoru technicznego.</w:t>
      </w:r>
    </w:p>
    <w:p>
      <w:pPr>
        <w:spacing w:before="0" w:after="0" w:line="240"/>
        <w:ind w:right="0" w:left="710" w:hanging="35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48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w zakresie metrologii.</w:t>
      </w:r>
    </w:p>
    <w:p>
      <w:pPr>
        <w:spacing w:before="0" w:after="0" w:line="240"/>
        <w:ind w:right="0" w:left="696" w:hanging="336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spacing w:before="0" w:after="0" w:line="240"/>
        <w:ind w:right="0" w:left="696" w:hanging="33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0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dotycz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ące ochrony środowiska.</w:t>
      </w:r>
    </w:p>
    <w:p>
      <w:pPr>
        <w:spacing w:before="0" w:after="0" w:line="240"/>
        <w:ind w:right="0" w:left="691" w:hanging="331"/>
        <w:jc w:val="both"/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52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FFFFFF" w:val="clear"/>
        </w:rPr>
        <w:t xml:space="preserve">Wymagania w zakresie uprawnie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FFFFFF" w:val="clear"/>
        </w:rPr>
        <w:t xml:space="preserve">ń wymaganych od wykonawc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FFFFFF" w:val="clear"/>
        </w:rPr>
        <w:t xml:space="preserve">ów przy 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realizacji umowy, w tym koncesji, pozwole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ń certyfikat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54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Termin realizacji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do 15 listopada ka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żdego roku objętego umową.</w:t>
      </w:r>
    </w:p>
    <w:p>
      <w:pPr>
        <w:numPr>
          <w:ilvl w:val="0"/>
          <w:numId w:val="54"/>
        </w:numPr>
        <w:tabs>
          <w:tab w:val="left" w:pos="360" w:leader="none"/>
        </w:tabs>
        <w:spacing w:before="240" w:after="0" w:line="240"/>
        <w:ind w:right="-2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FFFFFF" w:val="clear"/>
        </w:rPr>
        <w:t xml:space="preserve">Miejsce dostawy.</w:t>
      </w:r>
    </w:p>
    <w:p>
      <w:pPr>
        <w:spacing w:before="0" w:after="0" w:line="240"/>
        <w:ind w:right="-2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Jednostki wojskowe wyszczególnione w za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łączniku do umowy na rok 2019 oraz rozdzielniku do Aneksu umowy bazowej na kolejne lata, sporządzanego </w:t>
        <w:br/>
        <w:t xml:space="preserve">w styczniu każdego roku realizacji umowy.</w:t>
      </w:r>
    </w:p>
    <w:p>
      <w:pPr>
        <w:numPr>
          <w:ilvl w:val="0"/>
          <w:numId w:val="57"/>
        </w:numPr>
        <w:tabs>
          <w:tab w:val="left" w:pos="360" w:leader="none"/>
        </w:tabs>
        <w:spacing w:before="240" w:after="0" w:line="240"/>
        <w:ind w:right="4147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FFFFFF" w:val="clear"/>
        </w:rPr>
        <w:t xml:space="preserve">Inne wymagania.</w:t>
      </w:r>
    </w:p>
    <w:p>
      <w:pPr>
        <w:tabs>
          <w:tab w:val="left" w:pos="6096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Dostawca dostarczy przedmiot zamówienia transportem 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łasnym.</w:t>
      </w:r>
    </w:p>
    <w:p>
      <w:pPr>
        <w:tabs>
          <w:tab w:val="left" w:pos="6096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terminie uzgodnionym z Odbiorc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 Dostawca dokona, poprzez swojego przedstawiciela, stosownych wpis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w dokumentacji eksploatacyjnej opracowanej przez Odbiorc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 (Dow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ód urz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ądzenia), obowiązującej w terminie dostawy, dla stosownych punkt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i pozycji tej dokumentacji.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ZADANIE 2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PODNO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ŚNIK LEKKICH FIGUR BOJOWYCH TYPU PPL-2A/P lub 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ównowa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żny</w:t>
      </w:r>
    </w:p>
    <w:p>
      <w:pPr>
        <w:numPr>
          <w:ilvl w:val="0"/>
          <w:numId w:val="63"/>
        </w:numPr>
        <w:tabs>
          <w:tab w:val="left" w:pos="600" w:leader="none"/>
          <w:tab w:val="left" w:pos="960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Ilo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ść: </w:t>
      </w:r>
    </w:p>
    <w:p>
      <w:pPr>
        <w:numPr>
          <w:ilvl w:val="0"/>
          <w:numId w:val="63"/>
        </w:numPr>
        <w:tabs>
          <w:tab w:val="left" w:pos="960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Informacja o znaczeniu wyrobu (us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ługi) dla bezpieczeństwa RP. </w:t>
      </w:r>
    </w:p>
    <w:p>
      <w:pPr>
        <w:tabs>
          <w:tab w:val="left" w:pos="96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Nie stanowi wyrobu o podstawowym znaczeniu dla bezpiecze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ństwa państwa.</w:t>
      </w:r>
    </w:p>
    <w:p>
      <w:pPr>
        <w:tabs>
          <w:tab w:val="left" w:pos="96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6"/>
        </w:numPr>
        <w:tabs>
          <w:tab w:val="left" w:pos="960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FFFFFF" w:val="clear"/>
        </w:rPr>
        <w:t xml:space="preserve">Przedmiot zamówienia.</w:t>
      </w:r>
    </w:p>
    <w:p>
      <w:pPr>
        <w:tabs>
          <w:tab w:val="left" w:pos="9600" w:leader="none"/>
        </w:tabs>
        <w:spacing w:before="24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-4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FFFFFF" w:val="clear"/>
        </w:rPr>
        <w:t xml:space="preserve">3.1 Przeznaczenie wyrobu:</w:t>
      </w:r>
    </w:p>
    <w:p>
      <w:pPr>
        <w:tabs>
          <w:tab w:val="left" w:pos="960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lekkich figur bojowych typu PPL-2A/P (lub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ównowa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żny)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  <w:t xml:space="preserve">jest przeznaczony do wsparcia procesu szkolenia poprzez zdalne ukazywanie </w:t>
        <w:br/>
        <w:t xml:space="preserve">i chowanie figur bojowych oraz przesyłanie informacji zwrotnej o trafieniu figury. Podnośnik musi być przystosowany do sterowania przewodowego stanowiąc bazowy element wykonawczy dla garnizonowych strzelnic i plac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  <w:t xml:space="preserve">ów szkolenia SZ RP.</w:t>
      </w:r>
    </w:p>
    <w:p>
      <w:pPr>
        <w:tabs>
          <w:tab w:val="left" w:pos="9600" w:leader="none"/>
        </w:tabs>
        <w:spacing w:before="24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3.2 Parametry techniczne:</w:t>
      </w:r>
    </w:p>
    <w:p>
      <w:pPr>
        <w:numPr>
          <w:ilvl w:val="0"/>
          <w:numId w:val="7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napi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ęcie zasilania 24V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±pr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ądu stałego z zasilacza prądu stałego z układem filtrującym lub akumulatora (zespołu akumulator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ów) o pojemno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 min. 190Ah.;</w:t>
      </w:r>
    </w:p>
    <w:p>
      <w:pPr>
        <w:numPr>
          <w:ilvl w:val="0"/>
          <w:numId w:val="7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max. moment obci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ążający wał podnośnika 150 Nm;</w:t>
      </w:r>
    </w:p>
    <w:p>
      <w:pPr>
        <w:numPr>
          <w:ilvl w:val="0"/>
          <w:numId w:val="7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max. pobór 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ądu przy obciążeniu dopuszczalnym momentem: I=12A, podczas rozruchu I= ok. 16 A;</w:t>
      </w:r>
    </w:p>
    <w:p>
      <w:pPr>
        <w:numPr>
          <w:ilvl w:val="0"/>
          <w:numId w:val="7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max. czas podnoszenia (ukazywania) figury bojowej 6s+15%;</w:t>
      </w:r>
    </w:p>
    <w:p>
      <w:pPr>
        <w:numPr>
          <w:ilvl w:val="0"/>
          <w:numId w:val="7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sygna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 sterujący: impuls elektryczny Us=3-15V;</w:t>
      </w:r>
    </w:p>
    <w:p>
      <w:pPr>
        <w:numPr>
          <w:ilvl w:val="0"/>
          <w:numId w:val="7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czas trwania impulsu do 200ms.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śnik musi posiadać:</w:t>
      </w:r>
    </w:p>
    <w:p>
      <w:pPr>
        <w:numPr>
          <w:ilvl w:val="0"/>
          <w:numId w:val="7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ście/wyjście CZUJNIK TRAFIEŃ: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stan normalny (zwarcie zacisków 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ściowych);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stan aktywny (rozwarcie zacisków 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ściowych);</w:t>
      </w:r>
    </w:p>
    <w:p>
      <w:pPr>
        <w:numPr>
          <w:ilvl w:val="0"/>
          <w:numId w:val="7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ście/wyjście SYGNALIZATORA TRAFIEŃ: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rozwarcie linii by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ło trafienie;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zwarcie linii nie by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ło trafienia;</w:t>
      </w:r>
    </w:p>
    <w:p>
      <w:pPr>
        <w:numPr>
          <w:ilvl w:val="0"/>
          <w:numId w:val="7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 IMITATOR OGNIA: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U = 24V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+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ęstotliwość przebiegu 0,5-1,5 Hz (30-90 błysk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na minut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ę);</w:t>
      </w:r>
    </w:p>
    <w:p>
      <w:pPr>
        <w:numPr>
          <w:ilvl w:val="0"/>
          <w:numId w:val="7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 OŚWIETLENIE CELU: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U = 24V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+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72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wej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ście/wyjście TARCZA KONTAKTOWA: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napi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ęcie na zaciskach przy ich rozwarciu: 4V +-15%;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rezystancja traktowana jako zwarcie: 40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±20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FFFFFF" w:val="clear"/>
        </w:rPr>
        <w:t xml:space="preserve">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72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czas trwania zwarcia minimum 1 µs.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będzie pracować w zakresie temperatury -25 do +40 stopni C.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będzie spełniać wymagania w zakresie ograniczeń co do wymiar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zewn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ętrznych i wagi:</w:t>
      </w:r>
    </w:p>
    <w:p>
      <w:pPr>
        <w:numPr>
          <w:ilvl w:val="0"/>
          <w:numId w:val="83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wymiary gabarytowe: </w:t>
      </w:r>
    </w:p>
    <w:p>
      <w:pPr>
        <w:numPr>
          <w:ilvl w:val="0"/>
          <w:numId w:val="83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podstawa 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śnika nie może przekroczyć wymiar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ów: </w:t>
        <w:br/>
        <w:t xml:space="preserve">720 mm x 450 mm;</w:t>
      </w:r>
    </w:p>
    <w:p>
      <w:pPr>
        <w:numPr>
          <w:ilvl w:val="0"/>
          <w:numId w:val="83"/>
        </w:numPr>
        <w:tabs>
          <w:tab w:val="left" w:pos="1134" w:leader="none"/>
        </w:tabs>
        <w:spacing w:before="0" w:after="0" w:line="240"/>
        <w:ind w:right="0" w:left="108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wysoko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ść podnośnika: do 200 mm;</w:t>
      </w:r>
    </w:p>
    <w:p>
      <w:pPr>
        <w:numPr>
          <w:ilvl w:val="0"/>
          <w:numId w:val="83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masa: do 56 kg.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3.3 Parametry eksploatacyjne: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Podnoszenie i opuszczanie figury bojowej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ędzie realizowane przez:</w:t>
      </w:r>
    </w:p>
    <w:p>
      <w:pPr>
        <w:numPr>
          <w:ilvl w:val="0"/>
          <w:numId w:val="88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pulpity przewodowe typu WPS-2A, WPS-2M, AGAT/M-SZMARAGD/M;</w:t>
      </w:r>
    </w:p>
    <w:p>
      <w:pPr>
        <w:numPr>
          <w:ilvl w:val="0"/>
          <w:numId w:val="88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niezale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żny sygnał opuszczenia po trafieniu materiału celu, w zależności od rodzaju figury bojowej,  pochodzący z samej figury lub czujnika trafień przetwarzającego energię lotu pocisku na sygnał elektryczny sterujący elementem wykonawczym podnośnika.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musi zapewniać wsp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łpracę:</w:t>
      </w:r>
    </w:p>
    <w:p>
      <w:pPr>
        <w:numPr>
          <w:ilvl w:val="0"/>
          <w:numId w:val="9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 czujnikami trafie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 stosowanymi na obiektach bazy poligonowej </w:t>
        <w:br/>
        <w:t xml:space="preserve">i garnizonowej Sił Zbrojnych np. WCI-01, WCB-02 oraz wszystkimi odmianami tarcz kontaktowych,</w:t>
      </w:r>
    </w:p>
    <w:p>
      <w:pPr>
        <w:numPr>
          <w:ilvl w:val="0"/>
          <w:numId w:val="9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świetlnymi imitatorami ognia, </w:t>
      </w:r>
    </w:p>
    <w:p>
      <w:pPr>
        <w:numPr>
          <w:ilvl w:val="0"/>
          <w:numId w:val="9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 wyposa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żeniem dodatkowym celu do podświetlania figur bojowych, promiennikami podczerwieni.</w:t>
      </w:r>
    </w:p>
    <w:p>
      <w:pPr>
        <w:tabs>
          <w:tab w:val="left" w:pos="840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Podno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śnik lekkich figur bojowych musi umożliwiać pracę przy podłączeniu pojedynczo lub w grupach od 2 do 5 sztuk, przy odległości między podnośnikami do 6 m z zachowaniem parametr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technicznych pojedynczego urz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ądzenia.</w:t>
      </w:r>
    </w:p>
    <w:p>
      <w:pPr>
        <w:numPr>
          <w:ilvl w:val="0"/>
          <w:numId w:val="92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co do oceny zgodno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ści wyrobu.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Wyrób podlega ocenie zgodno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ści w trybie I (pierwszym) w myśl zapis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ów ustawy </w:t>
        <w:br/>
        <w:t xml:space="preserve">z dnia 17 listopada 2006 r. o systemie oceny zgodno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ści wyrob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ów przeznaczonych na potrzeby obronno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ści i bezpieczeństwa państwa (Dz. U. Nr 235 poz. 1700 </w:t>
        <w:br/>
        <w:t xml:space="preserve">z p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ó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źn. zm.).</w:t>
      </w:r>
    </w:p>
    <w:p>
      <w:pPr>
        <w:numPr>
          <w:ilvl w:val="0"/>
          <w:numId w:val="94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Wymagania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ące ochrony informacji niejawnych.</w:t>
      </w:r>
    </w:p>
    <w:p>
      <w:pPr>
        <w:spacing w:before="0" w:after="0" w:line="240"/>
        <w:ind w:right="0" w:left="590" w:hanging="230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  <w:t xml:space="preserve">Wyrób jawny.</w:t>
      </w:r>
    </w:p>
    <w:p>
      <w:pPr>
        <w:numPr>
          <w:ilvl w:val="0"/>
          <w:numId w:val="96"/>
        </w:numPr>
        <w:tabs>
          <w:tab w:val="left" w:pos="360" w:leader="none"/>
        </w:tabs>
        <w:spacing w:before="240" w:after="0" w:line="240"/>
        <w:ind w:right="0" w:left="357" w:hanging="35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w zakresie jako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ści wyrobu.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Wed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ług właściwego załącznika</w:t>
      </w:r>
    </w:p>
    <w:p>
      <w:pPr>
        <w:numPr>
          <w:ilvl w:val="0"/>
          <w:numId w:val="98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gwarancyjne oraz w zakresie serwisowania.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5"/>
          <w:position w:val="0"/>
          <w:sz w:val="24"/>
          <w:shd w:fill="FFFFFF" w:val="clear"/>
        </w:rPr>
        <w:t xml:space="preserve">Na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urz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ądzenie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FFFFFF" w:val="clear"/>
        </w:rPr>
        <w:t xml:space="preserve"> wykonawca udzieli gwarancji na okres 24 miesięcy, licząc od daty 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FFFFFF" w:val="clear"/>
        </w:rPr>
        <w:t xml:space="preserve">podpisania protokołu przyjęcia-przekazania przez przedstawicieli Wykonawcy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FFFFFF" w:val="clear"/>
        </w:rPr>
        <w:t xml:space="preserve">i przedstawicieli Zamawiającego. Gwarancja będzie obejmować wszystkie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zespoły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urządzenia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 oraz jego wyposażenie.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Gwarancja b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ędzie obejmować wszystkie elementy składowe sprzętu, 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zar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ówno wyprodukowane i naprawiane przez Wykonawc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ę, jak r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ównie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FFFFFF" w:val="clear"/>
        </w:rPr>
        <w:t xml:space="preserve">ż nabyte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oraz naprawiane przez kooperant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8"/>
          <w:position w:val="0"/>
          <w:sz w:val="24"/>
          <w:shd w:fill="FFFFFF" w:val="clear"/>
        </w:rPr>
        <w:t xml:space="preserve">Maksymalny czas, w jakim uszkodzone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urz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FFFFFF" w:val="clear"/>
        </w:rPr>
        <w:t xml:space="preserve">ądzenie</w:t>
      </w:r>
      <w:r>
        <w:rPr>
          <w:rFonts w:ascii="Arial" w:hAnsi="Arial" w:cs="Arial" w:eastAsia="Arial"/>
          <w:color w:val="auto"/>
          <w:spacing w:val="8"/>
          <w:position w:val="0"/>
          <w:sz w:val="24"/>
          <w:shd w:fill="FFFFFF" w:val="clear"/>
        </w:rPr>
        <w:t xml:space="preserve"> będzie naprawione </w:t>
        <w:br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w ramach gwarancji, wynosi:</w:t>
      </w:r>
    </w:p>
    <w:p>
      <w:pPr>
        <w:numPr>
          <w:ilvl w:val="0"/>
          <w:numId w:val="10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przypadku wykonawcy krajowego do 14 dni roboczych, licz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 od daty otrzymania protokołu reklamacji;</w:t>
      </w:r>
    </w:p>
    <w:p>
      <w:pPr>
        <w:numPr>
          <w:ilvl w:val="0"/>
          <w:numId w:val="100"/>
        </w:numPr>
        <w:spacing w:before="0" w:after="0" w:line="240"/>
        <w:ind w:right="0" w:left="720" w:hanging="29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przypadku wykonawcy zagranicznego do 21 dni roboczych, licz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ąc od daty otrzymania protokołu reklamacji.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Serwisowanie wyrobu zgodnie z zaleceniami producenta wynikaj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FFFFFF" w:val="clear"/>
        </w:rPr>
        <w:t xml:space="preserve">ącymi </w:t>
        <w:br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z warunk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ów gwarancji. Wszelkie kosztu serwisowania, przegl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ąd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ów i inne </w:t>
        <w:br/>
        <w:t xml:space="preserve">w okresie gwarancji obci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ążają Wykonawcę.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</w:pPr>
    </w:p>
    <w:p>
      <w:pPr>
        <w:numPr>
          <w:ilvl w:val="0"/>
          <w:numId w:val="102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Wymagania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ące kodyfikacji.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104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w zakresie dozoru technicznego.</w:t>
      </w:r>
    </w:p>
    <w:p>
      <w:pPr>
        <w:spacing w:before="0" w:after="0" w:line="240"/>
        <w:ind w:right="0" w:left="710" w:hanging="35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106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w zakresie metrologii.</w:t>
      </w:r>
    </w:p>
    <w:p>
      <w:pPr>
        <w:spacing w:before="0" w:after="0" w:line="240"/>
        <w:ind w:right="0" w:left="696" w:hanging="336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spacing w:before="0" w:after="0" w:line="240"/>
        <w:ind w:right="0" w:left="696" w:hanging="33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0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Wymagania dotycz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ące ochrony środowiska.</w:t>
      </w:r>
    </w:p>
    <w:p>
      <w:pPr>
        <w:spacing w:before="0" w:after="0" w:line="240"/>
        <w:ind w:right="0" w:left="691" w:hanging="331"/>
        <w:jc w:val="both"/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4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110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FFFFFF" w:val="clear"/>
        </w:rPr>
        <w:t xml:space="preserve">Wymagania w zakresie uprawnie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FFFFFF" w:val="clear"/>
        </w:rPr>
        <w:t xml:space="preserve">ń wymaganych od wykonawc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FFFFFF" w:val="clear"/>
        </w:rPr>
        <w:t xml:space="preserve">ów przy 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realizacji umowy, w tym koncesji, pozwole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ń certyfikat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ów.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FFFFFF" w:val="clear"/>
        </w:rPr>
        <w:t xml:space="preserve">Nie podlega.</w:t>
      </w:r>
    </w:p>
    <w:p>
      <w:pPr>
        <w:numPr>
          <w:ilvl w:val="0"/>
          <w:numId w:val="112"/>
        </w:numPr>
        <w:tabs>
          <w:tab w:val="left" w:pos="360" w:leader="none"/>
        </w:tabs>
        <w:spacing w:before="24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FFFFFF" w:val="clear"/>
        </w:rPr>
        <w:t xml:space="preserve">Termin realizacji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do 15 listopada ka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żdego roku objętego umową.</w:t>
      </w:r>
    </w:p>
    <w:p>
      <w:pPr>
        <w:numPr>
          <w:ilvl w:val="0"/>
          <w:numId w:val="112"/>
        </w:numPr>
        <w:tabs>
          <w:tab w:val="left" w:pos="360" w:leader="none"/>
        </w:tabs>
        <w:spacing w:before="240" w:after="0" w:line="240"/>
        <w:ind w:right="-2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FFFFFF" w:val="clear"/>
        </w:rPr>
        <w:t xml:space="preserve">Miejsce dostawy.</w:t>
      </w:r>
    </w:p>
    <w:p>
      <w:pPr>
        <w:spacing w:before="0" w:after="0" w:line="240"/>
        <w:ind w:right="-2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Jednostki wojskowe wyszczególnione w za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FFFFFF" w:val="clear"/>
        </w:rPr>
        <w:t xml:space="preserve">łączniku do umowy na rok 2019 oraz rozdzielniku do Aneksu umowy bazowej na kolejne lata, sporządzanego </w:t>
        <w:br/>
        <w:t xml:space="preserve">w styczniu każdego roku realizacji umowy.</w:t>
      </w:r>
    </w:p>
    <w:p>
      <w:pPr>
        <w:numPr>
          <w:ilvl w:val="0"/>
          <w:numId w:val="115"/>
        </w:numPr>
        <w:tabs>
          <w:tab w:val="left" w:pos="360" w:leader="none"/>
        </w:tabs>
        <w:spacing w:before="240" w:after="0" w:line="240"/>
        <w:ind w:right="4147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FFFFFF" w:val="clear"/>
        </w:rPr>
        <w:t xml:space="preserve">Inne wymagania.</w:t>
      </w:r>
    </w:p>
    <w:p>
      <w:pPr>
        <w:tabs>
          <w:tab w:val="left" w:pos="6096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Dostawca dostarczy przedmiot zamówienia transportem 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łasnym.</w:t>
      </w:r>
    </w:p>
    <w:p>
      <w:pPr>
        <w:tabs>
          <w:tab w:val="left" w:pos="6096" w:leader="none"/>
        </w:tabs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terminie uzgodnionym z Odbiorc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 Dostawca dokona, poprzez swojego przedstawiciela, stosownych wpis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w dokumentacji eksploatacyjnej opracowanej przez Odbiorc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 (Dow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ód urz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ądzenia), obowiązującej w terminie dostawy, dla stosownych punkt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i pozycji tej dokumentacji.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num w:numId="5">
    <w:abstractNumId w:val="222"/>
  </w:num>
  <w:num w:numId="8">
    <w:abstractNumId w:val="216"/>
  </w:num>
  <w:num w:numId="12">
    <w:abstractNumId w:val="210"/>
  </w:num>
  <w:num w:numId="14">
    <w:abstractNumId w:val="204"/>
  </w:num>
  <w:num w:numId="25">
    <w:abstractNumId w:val="198"/>
  </w:num>
  <w:num w:numId="30">
    <w:abstractNumId w:val="192"/>
  </w:num>
  <w:num w:numId="32">
    <w:abstractNumId w:val="186"/>
  </w:num>
  <w:num w:numId="34">
    <w:abstractNumId w:val="180"/>
  </w:num>
  <w:num w:numId="36">
    <w:abstractNumId w:val="174"/>
  </w:num>
  <w:num w:numId="38">
    <w:abstractNumId w:val="168"/>
  </w:num>
  <w:num w:numId="40">
    <w:abstractNumId w:val="162"/>
  </w:num>
  <w:num w:numId="42">
    <w:abstractNumId w:val="156"/>
  </w:num>
  <w:num w:numId="44">
    <w:abstractNumId w:val="150"/>
  </w:num>
  <w:num w:numId="46">
    <w:abstractNumId w:val="144"/>
  </w:num>
  <w:num w:numId="48">
    <w:abstractNumId w:val="138"/>
  </w:num>
  <w:num w:numId="50">
    <w:abstractNumId w:val="132"/>
  </w:num>
  <w:num w:numId="52">
    <w:abstractNumId w:val="126"/>
  </w:num>
  <w:num w:numId="54">
    <w:abstractNumId w:val="120"/>
  </w:num>
  <w:num w:numId="57">
    <w:abstractNumId w:val="114"/>
  </w:num>
  <w:num w:numId="63">
    <w:abstractNumId w:val="108"/>
  </w:num>
  <w:num w:numId="66">
    <w:abstractNumId w:val="102"/>
  </w:num>
  <w:num w:numId="70">
    <w:abstractNumId w:val="96"/>
  </w:num>
  <w:num w:numId="72">
    <w:abstractNumId w:val="90"/>
  </w:num>
  <w:num w:numId="83">
    <w:abstractNumId w:val="84"/>
  </w:num>
  <w:num w:numId="88">
    <w:abstractNumId w:val="78"/>
  </w:num>
  <w:num w:numId="90">
    <w:abstractNumId w:val="72"/>
  </w:num>
  <w:num w:numId="92">
    <w:abstractNumId w:val="66"/>
  </w:num>
  <w:num w:numId="94">
    <w:abstractNumId w:val="60"/>
  </w:num>
  <w:num w:numId="96">
    <w:abstractNumId w:val="54"/>
  </w:num>
  <w:num w:numId="98">
    <w:abstractNumId w:val="48"/>
  </w:num>
  <w:num w:numId="100">
    <w:abstractNumId w:val="42"/>
  </w:num>
  <w:num w:numId="102">
    <w:abstractNumId w:val="36"/>
  </w:num>
  <w:num w:numId="104">
    <w:abstractNumId w:val="30"/>
  </w:num>
  <w:num w:numId="106">
    <w:abstractNumId w:val="24"/>
  </w:num>
  <w:num w:numId="108">
    <w:abstractNumId w:val="18"/>
  </w:num>
  <w:num w:numId="110">
    <w:abstractNumId w:val="12"/>
  </w:num>
  <w:num w:numId="112">
    <w:abstractNumId w:val="6"/>
  </w:num>
  <w:num w:numId="1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