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3CFF" w14:textId="4A75989E" w:rsidR="00EE7E68" w:rsidRPr="00EE7E68" w:rsidRDefault="00EE7E68" w:rsidP="00EE7E68">
      <w:pPr>
        <w:shd w:val="clear" w:color="auto" w:fill="FFFFFF"/>
        <w:spacing w:after="0" w:line="240" w:lineRule="auto"/>
        <w:outlineLvl w:val="0"/>
        <w:rPr>
          <w:rFonts w:ascii="Noto Sans" w:eastAsia="Times New Roman" w:hAnsi="Noto Sans" w:cs="Noto Sans"/>
          <w:b/>
          <w:bCs/>
          <w:color w:val="505050"/>
          <w:kern w:val="36"/>
          <w:sz w:val="36"/>
          <w:szCs w:val="36"/>
          <w:lang w:eastAsia="pl-PL"/>
        </w:rPr>
      </w:pPr>
      <w:r>
        <w:rPr>
          <w:rFonts w:ascii="Noto Sans" w:eastAsia="Times New Roman" w:hAnsi="Noto Sans" w:cs="Noto Sans"/>
          <w:b/>
          <w:bCs/>
          <w:color w:val="505050"/>
          <w:kern w:val="36"/>
          <w:sz w:val="36"/>
          <w:szCs w:val="36"/>
          <w:lang w:eastAsia="pl-PL"/>
        </w:rPr>
        <w:t>Minimalne wymagania dotyczące pompy:</w:t>
      </w:r>
    </w:p>
    <w:p w14:paraId="13D46E9E" w14:textId="2274696E" w:rsidR="00EE7E68" w:rsidRPr="00EE7E68" w:rsidRDefault="00EE7E68" w:rsidP="00EE7E68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505050"/>
          <w:sz w:val="24"/>
          <w:szCs w:val="24"/>
          <w:u w:val="single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u w:val="single"/>
          <w:lang w:eastAsia="pl-PL"/>
        </w:rPr>
        <w:t>Dane techniczne</w:t>
      </w:r>
    </w:p>
    <w:tbl>
      <w:tblPr>
        <w:tblW w:w="8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155"/>
      </w:tblGrid>
      <w:tr w:rsidR="00EE7E68" w:rsidRPr="00EE7E68" w14:paraId="0FF7F169" w14:textId="77777777" w:rsidTr="00EE7E68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2D9D8B5B" w14:textId="77777777" w:rsidR="00EE7E68" w:rsidRPr="00EE7E68" w:rsidRDefault="00EE7E68" w:rsidP="00EE7E6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  <w:t>Dane hydrauliczne</w:t>
            </w:r>
          </w:p>
        </w:tc>
      </w:tr>
      <w:tr w:rsidR="00EE7E68" w:rsidRPr="00EE7E68" w14:paraId="7BA6FAB4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50A55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Maks. ciśnienie robocze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PN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A39C5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16 bar</w:t>
            </w:r>
          </w:p>
        </w:tc>
      </w:tr>
      <w:tr w:rsidR="00EE7E68" w:rsidRPr="00EE7E68" w14:paraId="0EDD4BF5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CB7D0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Wysokość podnoszenia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H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47A1C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9,0 m</w:t>
            </w:r>
          </w:p>
        </w:tc>
      </w:tr>
      <w:tr w:rsidR="00EE7E68" w:rsidRPr="00EE7E68" w14:paraId="1793E8CB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7A9EE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Przepływ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Q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EE494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41,0 m</w:t>
            </w:r>
            <w:r w:rsidRPr="00EE7E68">
              <w:rPr>
                <w:rFonts w:ascii="Calibri" w:eastAsia="Times New Roman" w:hAnsi="Calibri" w:cs="Calibri"/>
                <w:color w:val="505050"/>
                <w:sz w:val="24"/>
                <w:szCs w:val="24"/>
                <w:lang w:eastAsia="pl-PL"/>
              </w:rPr>
              <w:t>³</w:t>
            </w: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/h</w:t>
            </w:r>
          </w:p>
        </w:tc>
      </w:tr>
      <w:tr w:rsidR="00EE7E68" w:rsidRPr="00EE7E68" w14:paraId="58D9C150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68439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Minimalna wysokość dopływu dla 50 °C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B3555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5 m</w:t>
            </w:r>
          </w:p>
        </w:tc>
      </w:tr>
      <w:tr w:rsidR="00EE7E68" w:rsidRPr="00EE7E68" w14:paraId="557C8591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A062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Minimalna wysokość dopływu dla 95 °C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C1709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9 m</w:t>
            </w:r>
          </w:p>
        </w:tc>
      </w:tr>
      <w:tr w:rsidR="00EE7E68" w:rsidRPr="00EE7E68" w14:paraId="49BA2B08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1CE897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Minimalna wysokość dopływu dla 110 °C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3A552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23 m</w:t>
            </w:r>
          </w:p>
        </w:tc>
      </w:tr>
      <w:tr w:rsidR="00EE7E68" w:rsidRPr="00EE7E68" w14:paraId="0DC21760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1AF7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Min. temperatura przetłaczanej cieczy </w:t>
            </w:r>
            <w:proofErr w:type="spellStart"/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T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64997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-10 °C</w:t>
            </w:r>
          </w:p>
        </w:tc>
      </w:tr>
      <w:tr w:rsidR="00EE7E68" w:rsidRPr="00EE7E68" w14:paraId="42E9B40B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7788B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Maks. temperatura przetłaczanej cieczy </w:t>
            </w:r>
            <w:proofErr w:type="spellStart"/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T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max</w:t>
            </w:r>
            <w:proofErr w:type="spellEnd"/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84EF4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110 °C</w:t>
            </w:r>
          </w:p>
        </w:tc>
      </w:tr>
      <w:tr w:rsidR="00EE7E68" w:rsidRPr="00EE7E68" w14:paraId="09031459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CD5D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Temperatura otoczenia min. </w:t>
            </w:r>
            <w:proofErr w:type="spellStart"/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T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3D298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-10 °C</w:t>
            </w:r>
          </w:p>
        </w:tc>
      </w:tr>
      <w:tr w:rsidR="00EE7E68" w:rsidRPr="00EE7E68" w14:paraId="3209FE66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0490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Maks. temperatura otoczenia </w:t>
            </w:r>
            <w:proofErr w:type="spellStart"/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T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max</w:t>
            </w:r>
            <w:proofErr w:type="spellEnd"/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DD827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40 °C</w:t>
            </w:r>
          </w:p>
        </w:tc>
      </w:tr>
      <w:tr w:rsidR="00EE7E68" w:rsidRPr="00EE7E68" w14:paraId="4E3C4614" w14:textId="77777777" w:rsidTr="00EE7E68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44716BAB" w14:textId="77777777" w:rsidR="00EE7E68" w:rsidRPr="00EE7E68" w:rsidRDefault="00EE7E68" w:rsidP="00EE7E6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  <w:t>Dane silnika</w:t>
            </w:r>
          </w:p>
        </w:tc>
      </w:tr>
      <w:tr w:rsidR="00EE7E68" w:rsidRPr="00EE7E68" w14:paraId="1E7E3563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947A0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Współczynnik sprawności energetycznej (EEI)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DC79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0.17</w:t>
            </w:r>
          </w:p>
        </w:tc>
      </w:tr>
      <w:tr w:rsidR="00EE7E68" w:rsidRPr="00EE7E68" w14:paraId="60F32B70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2C87D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Przyłącze sieciowe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26616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 xml:space="preserve">1~230 V ±10%, 50/60 </w:t>
            </w:r>
            <w:proofErr w:type="spellStart"/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Hz</w:t>
            </w:r>
            <w:proofErr w:type="spellEnd"/>
          </w:p>
        </w:tc>
      </w:tr>
      <w:tr w:rsidR="00EE7E68" w:rsidRPr="00EE7E68" w14:paraId="7E97901F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65288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Prąd znamionowy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I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92C5C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0,2 A</w:t>
            </w:r>
          </w:p>
        </w:tc>
      </w:tr>
      <w:tr w:rsidR="00EE7E68" w:rsidRPr="00EE7E68" w14:paraId="119166F4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80F92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Prąd znamionowy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I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28191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2,47 A</w:t>
            </w:r>
          </w:p>
        </w:tc>
      </w:tr>
      <w:tr w:rsidR="00EE7E68" w:rsidRPr="00EE7E68" w14:paraId="3D776697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758DD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Moc znamionowa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P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8CEE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470 W</w:t>
            </w:r>
          </w:p>
        </w:tc>
      </w:tr>
      <w:tr w:rsidR="00EE7E68" w:rsidRPr="00EE7E68" w14:paraId="6E68885B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77870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Prędkość obrotowa min. </w:t>
            </w:r>
            <w:proofErr w:type="spellStart"/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n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42266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650 1/min</w:t>
            </w:r>
          </w:p>
        </w:tc>
      </w:tr>
      <w:tr w:rsidR="00EE7E68" w:rsidRPr="00EE7E68" w14:paraId="452862F7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3FB14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Prędkość obrotowa maks. </w:t>
            </w:r>
            <w:proofErr w:type="spellStart"/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n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max</w:t>
            </w:r>
            <w:proofErr w:type="spellEnd"/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3F706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3200 1/min</w:t>
            </w:r>
          </w:p>
        </w:tc>
      </w:tr>
      <w:tr w:rsidR="00EE7E68" w:rsidRPr="00EE7E68" w14:paraId="4E81F99C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98A01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Pobór mocy (min)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P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1 min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E00DE6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10 W</w:t>
            </w:r>
          </w:p>
        </w:tc>
      </w:tr>
      <w:tr w:rsidR="00EE7E68" w:rsidRPr="00EE7E68" w14:paraId="614F2A3A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1B354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Pobór mocy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P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16"/>
                <w:szCs w:val="16"/>
                <w:vertAlign w:val="subscript"/>
                <w:lang w:eastAsia="pl-PL"/>
              </w:rPr>
              <w:t>1 max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99FAB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560 W</w:t>
            </w:r>
          </w:p>
        </w:tc>
      </w:tr>
      <w:tr w:rsidR="00EE7E68" w:rsidRPr="00EE7E68" w14:paraId="329549B7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3DB5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lastRenderedPageBreak/>
              <w:t>Generowanie zakłóceń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39F5B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EN 61800-3;2004+A1;2012 / środowisko mieszkalne (C1)</w:t>
            </w:r>
          </w:p>
        </w:tc>
      </w:tr>
      <w:tr w:rsidR="00EE7E68" w:rsidRPr="00EE7E68" w14:paraId="0FA235A8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9BB49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Odporność na zakłócenia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2B62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EN 61800-3;2004+A1;2012 / środowisko przemysłowe (C2)</w:t>
            </w:r>
          </w:p>
        </w:tc>
      </w:tr>
      <w:tr w:rsidR="00EE7E68" w:rsidRPr="00EE7E68" w14:paraId="566D79F0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138C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Klasa izolacji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D41AE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F</w:t>
            </w:r>
          </w:p>
        </w:tc>
      </w:tr>
      <w:tr w:rsidR="00EE7E68" w:rsidRPr="00EE7E68" w14:paraId="39CABA43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BE23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Stopień ochrony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19B97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IPX4D</w:t>
            </w:r>
          </w:p>
        </w:tc>
      </w:tr>
    </w:tbl>
    <w:p w14:paraId="31585DFA" w14:textId="77777777" w:rsidR="00EE7E68" w:rsidRPr="00EE7E68" w:rsidRDefault="00EE7E68" w:rsidP="00EE7E6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vanish/>
          <w:color w:val="505050"/>
          <w:sz w:val="24"/>
          <w:szCs w:val="24"/>
          <w:lang w:eastAsia="pl-PL"/>
        </w:rPr>
      </w:pPr>
    </w:p>
    <w:tbl>
      <w:tblPr>
        <w:tblW w:w="8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155"/>
      </w:tblGrid>
      <w:tr w:rsidR="00EE7E68" w:rsidRPr="00EE7E68" w14:paraId="5303B24E" w14:textId="77777777" w:rsidTr="00EE7E68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261A1E28" w14:textId="77777777" w:rsidR="00EE7E68" w:rsidRPr="00EE7E68" w:rsidRDefault="00EE7E68" w:rsidP="00EE7E6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  <w:t>Wymiary montażowe</w:t>
            </w:r>
          </w:p>
        </w:tc>
      </w:tr>
      <w:tr w:rsidR="00EE7E68" w:rsidRPr="00EE7E68" w14:paraId="2B48BAD0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C4901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Przyłącze po stronie ssawnej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99011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DN 65</w:t>
            </w:r>
          </w:p>
        </w:tc>
      </w:tr>
      <w:tr w:rsidR="00EE7E68" w:rsidRPr="00EE7E68" w14:paraId="052BF6A9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380DA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Przyłącze po stronie tłocznej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2E304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DN 65</w:t>
            </w:r>
          </w:p>
        </w:tc>
      </w:tr>
      <w:tr w:rsidR="00EE7E68" w:rsidRPr="00EE7E68" w14:paraId="7F141885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25B95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Długość montażowa </w:t>
            </w:r>
            <w:r w:rsidRPr="00EE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50"/>
                <w:sz w:val="21"/>
                <w:szCs w:val="21"/>
                <w:lang w:eastAsia="pl-PL"/>
              </w:rPr>
              <w:t>l0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020B9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280 mm</w:t>
            </w:r>
          </w:p>
        </w:tc>
      </w:tr>
      <w:tr w:rsidR="00EE7E68" w:rsidRPr="00EE7E68" w14:paraId="5E68885F" w14:textId="77777777" w:rsidTr="00EE7E68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14:paraId="40FDA9D1" w14:textId="77777777" w:rsidR="00EE7E68" w:rsidRPr="00EE7E68" w:rsidRDefault="00EE7E68" w:rsidP="00EE7E6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b/>
                <w:bCs/>
                <w:color w:val="505050"/>
                <w:sz w:val="24"/>
                <w:szCs w:val="24"/>
                <w:lang w:eastAsia="pl-PL"/>
              </w:rPr>
              <w:t>Materiały</w:t>
            </w:r>
          </w:p>
        </w:tc>
      </w:tr>
      <w:tr w:rsidR="00EE7E68" w:rsidRPr="00EE7E68" w14:paraId="6F7A18CA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48F5B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Korpus pompy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C970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Żeliwo</w:t>
            </w:r>
          </w:p>
        </w:tc>
      </w:tr>
      <w:tr w:rsidR="00EE7E68" w:rsidRPr="00EE7E68" w14:paraId="69B4AA4A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60142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Wirnik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3B0ED3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PPS-GF40</w:t>
            </w:r>
          </w:p>
        </w:tc>
      </w:tr>
      <w:tr w:rsidR="00EE7E68" w:rsidRPr="00EE7E68" w14:paraId="74058311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5B99D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Wał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EA8FB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1.4028, z powłoką DLC</w:t>
            </w:r>
          </w:p>
        </w:tc>
      </w:tr>
      <w:tr w:rsidR="00EE7E68" w:rsidRPr="00EE7E68" w14:paraId="119051AB" w14:textId="77777777" w:rsidTr="00EE7E68">
        <w:trPr>
          <w:tblCellSpacing w:w="15" w:type="dxa"/>
        </w:trPr>
        <w:tc>
          <w:tcPr>
            <w:tcW w:w="4200" w:type="dxa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213D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Times New Roman" w:eastAsia="Times New Roman" w:hAnsi="Times New Roman" w:cs="Times New Roman"/>
                <w:b/>
                <w:bCs/>
                <w:color w:val="505050"/>
                <w:sz w:val="21"/>
                <w:szCs w:val="21"/>
                <w:lang w:eastAsia="pl-PL"/>
              </w:rPr>
              <w:t>Materiał łożysk</w:t>
            </w:r>
          </w:p>
        </w:tc>
        <w:tc>
          <w:tcPr>
            <w:tcW w:w="0" w:type="auto"/>
            <w:tcBorders>
              <w:bottom w:val="single" w:sz="6" w:space="0" w:color="009C82"/>
            </w:tcBorders>
            <w:shd w:val="clear" w:color="auto" w:fill="FCFCF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10CAF" w14:textId="77777777" w:rsidR="00EE7E68" w:rsidRPr="00EE7E68" w:rsidRDefault="00EE7E68" w:rsidP="00EE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1"/>
                <w:szCs w:val="21"/>
                <w:lang w:eastAsia="pl-PL"/>
              </w:rPr>
            </w:pPr>
            <w:r w:rsidRPr="00EE7E68">
              <w:rPr>
                <w:rFonts w:ascii="Noto Sans" w:eastAsia="Times New Roman" w:hAnsi="Noto Sans" w:cs="Noto Sans"/>
                <w:color w:val="505050"/>
                <w:sz w:val="24"/>
                <w:szCs w:val="24"/>
                <w:lang w:eastAsia="pl-PL"/>
              </w:rPr>
              <w:t>Węgiel spiekany, impregnowany antymonem</w:t>
            </w:r>
          </w:p>
        </w:tc>
      </w:tr>
    </w:tbl>
    <w:p w14:paraId="317A4BF4" w14:textId="41FB2F04" w:rsidR="00563558" w:rsidRDefault="00563558"/>
    <w:p w14:paraId="5C478431" w14:textId="3EA7408A" w:rsidR="00EE7E68" w:rsidRDefault="00EE7E68"/>
    <w:p w14:paraId="3163C7D3" w14:textId="5BF5AD63" w:rsidR="00EE7E68" w:rsidRDefault="00EE7E68"/>
    <w:p w14:paraId="7B099098" w14:textId="38FD0B0F" w:rsidR="00EE7E68" w:rsidRDefault="00EE7E68"/>
    <w:p w14:paraId="5E9E1165" w14:textId="710E2C73" w:rsidR="00EE7E68" w:rsidRDefault="00EE7E68"/>
    <w:p w14:paraId="3B48C977" w14:textId="7265B3EB" w:rsidR="00EE7E68" w:rsidRDefault="00EE7E68"/>
    <w:p w14:paraId="42B42878" w14:textId="77777777" w:rsidR="00EE7E68" w:rsidRDefault="00EE7E68"/>
    <w:p w14:paraId="6CC191C9" w14:textId="32C2C599" w:rsidR="00EE7E68" w:rsidRDefault="00EE7E68"/>
    <w:p w14:paraId="75235D70" w14:textId="68C4903D" w:rsidR="00EE7E68" w:rsidRDefault="00EE7E68"/>
    <w:p w14:paraId="57DE6C6B" w14:textId="0AF2332B" w:rsidR="00EE7E68" w:rsidRDefault="00EE7E68"/>
    <w:p w14:paraId="08A1BA7D" w14:textId="77777777" w:rsidR="00EE7E68" w:rsidRDefault="00EE7E68"/>
    <w:p w14:paraId="563D01E8" w14:textId="77777777" w:rsidR="00EE7E68" w:rsidRPr="00EE7E68" w:rsidRDefault="00EE7E68" w:rsidP="00EE7E68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hyperlink r:id="rId5" w:anchor="c8ae2889e58f131940158f310b6a70d4eTL3_product_tendertext" w:tgtFrame="_self" w:history="1">
        <w:r w:rsidRPr="00EE7E68">
          <w:rPr>
            <w:rFonts w:ascii="Noto Sans" w:eastAsia="Times New Roman" w:hAnsi="Noto Sans" w:cs="Noto Sans"/>
            <w:b/>
            <w:bCs/>
            <w:color w:val="505050"/>
            <w:sz w:val="24"/>
            <w:szCs w:val="24"/>
            <w:u w:val="single"/>
            <w:bdr w:val="none" w:sz="0" w:space="0" w:color="auto" w:frame="1"/>
            <w:lang w:eastAsia="pl-PL"/>
          </w:rPr>
          <w:t>Specyfikacja ofertowa</w:t>
        </w:r>
      </w:hyperlink>
    </w:p>
    <w:p w14:paraId="71677149" w14:textId="77777777" w:rsidR="00EE7E68" w:rsidRPr="00EE7E68" w:rsidRDefault="00EE7E68" w:rsidP="00EE7E68">
      <w:pPr>
        <w:shd w:val="clear" w:color="auto" w:fill="FFFFFF"/>
        <w:spacing w:before="150" w:after="6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Pompa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bezdławnicowa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Inline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o najwyższej sprawności z silnikiem EC i elektronicznym dopasowaniem wydajności. Stosowanie dla wody ciepłej, zimnej oraz mieszanki wody i glikolu. Współczynnik sprawności energetycznej (EEI) w zależności od typu pompy </w:t>
      </w:r>
      <w:r w:rsidRPr="00EE7E68">
        <w:rPr>
          <w:rFonts w:ascii="Arial" w:eastAsia="Times New Roman" w:hAnsi="Arial" w:cs="Arial"/>
          <w:color w:val="505050"/>
          <w:sz w:val="24"/>
          <w:szCs w:val="24"/>
          <w:lang w:eastAsia="pl-PL"/>
        </w:rPr>
        <w:t>≤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 0,17 i </w:t>
      </w:r>
      <w:r w:rsidRPr="00EE7E68">
        <w:rPr>
          <w:rFonts w:ascii="Arial" w:eastAsia="Times New Roman" w:hAnsi="Arial" w:cs="Arial"/>
          <w:color w:val="505050"/>
          <w:sz w:val="24"/>
          <w:szCs w:val="24"/>
          <w:lang w:eastAsia="pl-PL"/>
        </w:rPr>
        <w:t>≤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0,19.</w:t>
      </w:r>
    </w:p>
    <w:p w14:paraId="2871FC13" w14:textId="77777777" w:rsidR="00EE7E68" w:rsidRPr="00EE7E68" w:rsidRDefault="00EE7E68" w:rsidP="00EE7E68">
      <w:pPr>
        <w:shd w:val="clear" w:color="auto" w:fill="FFFFFF"/>
        <w:spacing w:before="150" w:after="6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Rodzaje regulacji:</w:t>
      </w:r>
    </w:p>
    <w:p w14:paraId="37E036CD" w14:textId="03FE4459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Stałe, automatyczne dostosowanie mocy do wymagań instalacji bez wprowadzania wartości zadanych. Oszczędność zużycia energii do 20 % w porównaniu z trybem regulacji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dp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-v.</w:t>
      </w:r>
    </w:p>
    <w:p w14:paraId="2FA31E68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Stała temperatura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(T-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const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.)</w:t>
      </w:r>
    </w:p>
    <w:p w14:paraId="1FD23DA5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Stała temperatura różnicowa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dT-const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.)</w:t>
      </w:r>
    </w:p>
    <w:p w14:paraId="5F93AFD1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Dostosowana do zapotrzebowania optymalizacja przepływu obrotowego pompy zasilającej poprzez połączenie i komunikację z kilkoma pompami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(Multi-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Flow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 xml:space="preserve"> Adaptation).</w:t>
      </w:r>
    </w:p>
    <w:p w14:paraId="3FCCCCB4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Stały przepływ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(Q-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const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.)</w:t>
      </w:r>
    </w:p>
    <w:p w14:paraId="2ED5DED2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Regulacja różnicy ciśnień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dp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-c w punkcie oddalonym w rurociągu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(regulacja punktu błędnego)</w:t>
      </w:r>
    </w:p>
    <w:p w14:paraId="5DD1F86D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Stała różnica ciśnień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dp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-c)</w:t>
      </w:r>
    </w:p>
    <w:p w14:paraId="5B345B24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Zmienna różnica ciśnień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dp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-v) 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z opcją nominalnego wprowadzania punktu pracy</w:t>
      </w:r>
    </w:p>
    <w:p w14:paraId="0299635A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Stała prędkość obrotowa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(n-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const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.)</w:t>
      </w:r>
    </w:p>
    <w:p w14:paraId="51851D0E" w14:textId="77777777" w:rsidR="00EE7E68" w:rsidRPr="00EE7E68" w:rsidRDefault="00EE7E68" w:rsidP="00EE7E68">
      <w:pPr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Zdefiniowana przez użytkownika regulacja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PID</w:t>
      </w:r>
    </w:p>
    <w:p w14:paraId="7AB8861D" w14:textId="77777777" w:rsidR="00EE7E68" w:rsidRPr="00EE7E68" w:rsidRDefault="00EE7E68" w:rsidP="00EE7E68">
      <w:pPr>
        <w:shd w:val="clear" w:color="auto" w:fill="FFFFFF"/>
        <w:spacing w:before="150" w:after="6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Funkcje:</w:t>
      </w:r>
    </w:p>
    <w:p w14:paraId="13FE0A30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Rejestracja ilości ciepła</w:t>
      </w:r>
    </w:p>
    <w:p w14:paraId="13D98C76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Rejestracja ilości zimna</w:t>
      </w:r>
    </w:p>
    <w:p w14:paraId="1BEE471D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Automatyczne wyłączanie w przypadku rozpoznania w pompie przepływu zerowego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(No-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Flow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 xml:space="preserve"> Stop)</w:t>
      </w:r>
    </w:p>
    <w:p w14:paraId="1F2AD883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Przełączanie pomiędzy trybem grzania i chłodzenia (automatycznie, zewnętrzne i manualnie)</w:t>
      </w:r>
    </w:p>
    <w:p w14:paraId="49C0DD2D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Nastawne ograniczenie przepływu przez funkcję Q-Limit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Q</w:t>
      </w:r>
      <w:r w:rsidRPr="00EE7E68">
        <w:rPr>
          <w:rFonts w:ascii="Noto Sans" w:eastAsia="Times New Roman" w:hAnsi="Noto Sans" w:cs="Noto Sans"/>
          <w:b/>
          <w:bCs/>
          <w:color w:val="505050"/>
          <w:sz w:val="18"/>
          <w:szCs w:val="18"/>
          <w:vertAlign w:val="subscript"/>
          <w:lang w:eastAsia="pl-PL"/>
        </w:rPr>
        <w:t>min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18"/>
          <w:szCs w:val="18"/>
          <w:vertAlign w:val="subscript"/>
          <w:lang w:eastAsia="pl-PL"/>
        </w:rPr>
        <w:t>.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 xml:space="preserve"> i </w:t>
      </w:r>
      <w:proofErr w:type="spellStart"/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Q</w:t>
      </w:r>
      <w:r w:rsidRPr="00EE7E68">
        <w:rPr>
          <w:rFonts w:ascii="Noto Sans" w:eastAsia="Times New Roman" w:hAnsi="Noto Sans" w:cs="Noto Sans"/>
          <w:b/>
          <w:bCs/>
          <w:color w:val="505050"/>
          <w:sz w:val="18"/>
          <w:szCs w:val="18"/>
          <w:vertAlign w:val="subscript"/>
          <w:lang w:eastAsia="pl-PL"/>
        </w:rPr>
        <w:t>max</w:t>
      </w:r>
      <w:proofErr w:type="spellEnd"/>
      <w:r w:rsidRPr="00EE7E68">
        <w:rPr>
          <w:rFonts w:ascii="Noto Sans" w:eastAsia="Times New Roman" w:hAnsi="Noto Sans" w:cs="Noto Sans"/>
          <w:b/>
          <w:bCs/>
          <w:color w:val="505050"/>
          <w:sz w:val="18"/>
          <w:szCs w:val="18"/>
          <w:vertAlign w:val="subscript"/>
          <w:lang w:eastAsia="pl-PL"/>
        </w:rPr>
        <w:t>.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)</w:t>
      </w:r>
    </w:p>
    <w:p w14:paraId="06F1DB0C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Rodzaj pracy pomp podwójnych: Optymalizowana sprawnościowo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praca z dołączaniem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 dla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dp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-c i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dp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-v, tryb pracy podstawowej / tryb pracy z rezerwą</w:t>
      </w:r>
    </w:p>
    <w:p w14:paraId="076D0AB8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Zapisywanie i przywracania skonfigurowanych ustawień pompy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(3 punkty przywrócenia ustawień)</w:t>
      </w:r>
    </w:p>
    <w:p w14:paraId="7D40E086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lastRenderedPageBreak/>
        <w:t>Sygnalizacja awarii / ostrzeżenia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w formie tekstu wraz z pomocą</w:t>
      </w:r>
    </w:p>
    <w:p w14:paraId="3CF270E9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Funkcja odpowietrzania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do automatycznego odpowietrzania komory wirnika</w:t>
      </w:r>
    </w:p>
    <w:p w14:paraId="3BE27AC7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Automatyczna praca w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trybie obniżenia nocnego</w:t>
      </w:r>
    </w:p>
    <w:p w14:paraId="7A8CFFDA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Automatyczna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funkcje nieblokowania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i wbudowane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pełne zabezpieczenie silnika</w:t>
      </w:r>
    </w:p>
    <w:p w14:paraId="0E404D0D" w14:textId="77777777" w:rsidR="00EE7E68" w:rsidRPr="00EE7E68" w:rsidRDefault="00EE7E68" w:rsidP="00EE7E68">
      <w:pPr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Wykrywanie pracy na sucho</w:t>
      </w:r>
    </w:p>
    <w:p w14:paraId="53D8B321" w14:textId="77777777" w:rsidR="00EE7E68" w:rsidRPr="00EE7E68" w:rsidRDefault="00EE7E68" w:rsidP="00EE7E68">
      <w:pPr>
        <w:shd w:val="clear" w:color="auto" w:fill="FFFFFF"/>
        <w:spacing w:before="150" w:after="6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Wskazanie:</w:t>
      </w:r>
    </w:p>
    <w:p w14:paraId="3B5CD6CD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Rodzaj regulacji</w:t>
      </w:r>
    </w:p>
    <w:p w14:paraId="73A939D5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Wartość zadana</w:t>
      </w:r>
    </w:p>
    <w:p w14:paraId="3E1C8588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Przepływ</w:t>
      </w:r>
    </w:p>
    <w:p w14:paraId="673B94A3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Temperatura</w:t>
      </w:r>
    </w:p>
    <w:p w14:paraId="73C21012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Pobór mocy</w:t>
      </w:r>
    </w:p>
    <w:p w14:paraId="76EF8117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Zużycie prądu</w:t>
      </w:r>
    </w:p>
    <w:p w14:paraId="5D38479D" w14:textId="77777777" w:rsidR="00EE7E68" w:rsidRPr="00EE7E68" w:rsidRDefault="00EE7E68" w:rsidP="00EE7E68">
      <w:pPr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Czynniki wywierające aktywny wpływ (np. STOP, No-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Flow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Stop)</w:t>
      </w:r>
    </w:p>
    <w:p w14:paraId="53204067" w14:textId="77777777" w:rsidR="00EE7E68" w:rsidRPr="00EE7E68" w:rsidRDefault="00EE7E68" w:rsidP="00EE7E68">
      <w:pPr>
        <w:shd w:val="clear" w:color="auto" w:fill="FFFFFF"/>
        <w:spacing w:before="150" w:after="6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Wersja:</w:t>
      </w:r>
    </w:p>
    <w:p w14:paraId="17539E9D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2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konfigurowane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wejścia analogowe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: 0 – 10 V, 2 – 10 V, 0 – 20 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mA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, 4 – 20 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mA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i standardowe PT1000; zasilanie elektryczne z +24 V DC</w:t>
      </w:r>
    </w:p>
    <w:p w14:paraId="7DF8B5C9" w14:textId="50EA9029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2</w:t>
      </w:r>
      <w:r w:rsidR="009F18D1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 xml:space="preserve"> 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konfigurowalne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wejścia cyfrowe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(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Ext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. Off,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Ext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. Min,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Ext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. Max, ogrzewanie / chłodzenie, możliwość ręcznego przesterowania (automatyka budynku sparowana), blokada obsługi (blokada klawiszy i ochrona konfiguracji pilotów))</w:t>
      </w:r>
    </w:p>
    <w:p w14:paraId="4962EE88" w14:textId="51A95D45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2</w:t>
      </w:r>
      <w:r w:rsidR="009F18D1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 xml:space="preserve"> 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konfigurowane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przekaźniki do sygnalizacji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komunikatów pracy i sygnalizacji awarii</w:t>
      </w:r>
    </w:p>
    <w:p w14:paraId="7365C3D3" w14:textId="696BFAE1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 xml:space="preserve">Gniazdo modułów 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z interfejsami do automatyki budynku (opcjonalne wyposażenie dodatkowe: moduły CIF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Modbus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RTU,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Modbus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TCP,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BACnet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MS/TP,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BACnet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 IP, LON, , 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PLR,CANopen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)</w:t>
      </w:r>
    </w:p>
    <w:p w14:paraId="51BFCF5F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Zintegrowane czujniki temperatury</w:t>
      </w:r>
    </w:p>
    <w:p w14:paraId="46835BDC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Automatyczny </w:t>
      </w: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tryb awaryjny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w sytuacjach wyjątkowych (zdefiniowana prędkość obrotowa pompy) np. w przypadku gdy nastąpi wyłączenie komunikacji za pomocą magistrali lub wartości czujników</w:t>
      </w:r>
    </w:p>
    <w:p w14:paraId="3867D36D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t>Graficzny wyświetlacz kolorowy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(4,3 cala) z obsługą poprzez moduł obsługi ręcznej za pomocą jednego przycisku</w:t>
      </w:r>
    </w:p>
    <w:p w14:paraId="0226C189" w14:textId="664A7154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 xml:space="preserve">Odczytywanie i ustawianie danych pracy oraz np. sporządzanie protokołu z uruchomienia za pośrednictwem interfejsu Bluetooth (bez innego wyposażenia dodatkowego) przy użyciu aplikacji </w:t>
      </w:r>
    </w:p>
    <w:p w14:paraId="23DB5C71" w14:textId="4C90B3B1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b/>
          <w:bCs/>
          <w:color w:val="505050"/>
          <w:sz w:val="24"/>
          <w:szCs w:val="24"/>
          <w:lang w:eastAsia="pl-PL"/>
        </w:rPr>
        <w:lastRenderedPageBreak/>
        <w:t>Zarządzanie pracą pomp podwójnych</w:t>
      </w: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 zintegrowane (pompy podwójne są okablowane), przy stosowaniu 2 pomp pojedynczych jako jednostki pompy podwójnej, połączenie Net</w:t>
      </w:r>
    </w:p>
    <w:p w14:paraId="31763352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Możliwość rozpoznania przerwania przewodu w przypadku sygnału analogowego (w połączeniu z 2 – 10 V lub 4 – 20 </w:t>
      </w:r>
      <w:proofErr w:type="spellStart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mA</w:t>
      </w:r>
      <w:proofErr w:type="spellEnd"/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)</w:t>
      </w:r>
    </w:p>
    <w:p w14:paraId="1E9B9A39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Ustawienie na zewnątrz z ochroną przed czynnikami klimatycznymi zgodnie z instrukcją montażu i obsługi</w:t>
      </w:r>
    </w:p>
    <w:p w14:paraId="5278307B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Data i godzina ustawione seryjnie</w:t>
      </w:r>
    </w:p>
    <w:p w14:paraId="67E8CC3A" w14:textId="77777777" w:rsidR="00EE7E68" w:rsidRPr="00EE7E68" w:rsidRDefault="00EE7E68" w:rsidP="00EE7E68">
      <w:pPr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</w:pPr>
      <w:r w:rsidRPr="00EE7E68">
        <w:rPr>
          <w:rFonts w:ascii="Noto Sans" w:eastAsia="Times New Roman" w:hAnsi="Noto Sans" w:cs="Noto Sans"/>
          <w:color w:val="505050"/>
          <w:sz w:val="24"/>
          <w:szCs w:val="24"/>
          <w:lang w:eastAsia="pl-PL"/>
        </w:rPr>
        <w:t>Pokrywy izolacji termicznej do zastosowania w instalacjach grzewczych</w:t>
      </w:r>
    </w:p>
    <w:sectPr w:rsidR="00EE7E68" w:rsidRPr="00EE7E68" w:rsidSect="00EE7E68">
      <w:pgSz w:w="11906" w:h="16838"/>
      <w:pgMar w:top="1702" w:right="1134" w:bottom="1701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133F"/>
    <w:multiLevelType w:val="multilevel"/>
    <w:tmpl w:val="1EF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F422F"/>
    <w:multiLevelType w:val="multilevel"/>
    <w:tmpl w:val="735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A7FB2"/>
    <w:multiLevelType w:val="multilevel"/>
    <w:tmpl w:val="6D3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A6530"/>
    <w:multiLevelType w:val="multilevel"/>
    <w:tmpl w:val="7002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D437A"/>
    <w:multiLevelType w:val="multilevel"/>
    <w:tmpl w:val="E19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05270"/>
    <w:multiLevelType w:val="multilevel"/>
    <w:tmpl w:val="AA1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B650A"/>
    <w:multiLevelType w:val="multilevel"/>
    <w:tmpl w:val="F64E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11AE2"/>
    <w:multiLevelType w:val="multilevel"/>
    <w:tmpl w:val="0C26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68"/>
    <w:rsid w:val="00563558"/>
    <w:rsid w:val="009F18D1"/>
    <w:rsid w:val="00B40009"/>
    <w:rsid w:val="00DE2D24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5ED5"/>
  <w15:chartTrackingRefBased/>
  <w15:docId w15:val="{3F5622EA-FF54-4A8A-9319-EE212E9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5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31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96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11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43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06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lo.com/pl/pl/Produkty-i-zastosowania/pl/produkty-i-zastosowania/budynek-komercyjny/chlodnictwo-i-technika-klimatyzacyjna/wilo-stratos-maxo/stratos-maxo-65-0-5-9-pn-16?t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Iwańska, Karolina</dc:creator>
  <cp:keywords/>
  <dc:description/>
  <cp:lastModifiedBy>Iwańska, Karolina</cp:lastModifiedBy>
  <cp:revision>1</cp:revision>
  <dcterms:created xsi:type="dcterms:W3CDTF">2022-02-21T08:31:00Z</dcterms:created>
  <dcterms:modified xsi:type="dcterms:W3CDTF">2022-02-21T08:46:00Z</dcterms:modified>
</cp:coreProperties>
</file>