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3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9"/>
        <w:gridCol w:w="9670"/>
        <w:gridCol w:w="3518"/>
      </w:tblGrid>
      <w:tr w:rsidR="006A26BB" w:rsidRPr="00407747" w:rsidTr="00EA6239">
        <w:trPr>
          <w:trHeight w:val="196"/>
        </w:trPr>
        <w:tc>
          <w:tcPr>
            <w:tcW w:w="14037" w:type="dxa"/>
            <w:gridSpan w:val="3"/>
            <w:shd w:val="clear" w:color="auto" w:fill="auto"/>
            <w:tcMar>
              <w:left w:w="98" w:type="dxa"/>
            </w:tcMar>
          </w:tcPr>
          <w:p w:rsidR="006A26BB" w:rsidRPr="00407747" w:rsidRDefault="006A4DE8" w:rsidP="00004BF5">
            <w:pPr>
              <w:shd w:val="clear" w:color="auto" w:fill="FFFFFF"/>
              <w:spacing w:line="240" w:lineRule="auto"/>
              <w:ind w:left="8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 techniczna z dokładnymi parametrami, jakie powinien spełniać przedmiot zamówienia</w:t>
            </w:r>
          </w:p>
          <w:p w:rsidR="00814E9C" w:rsidRDefault="00814E9C">
            <w:pPr>
              <w:shd w:val="clear" w:color="auto" w:fill="FFFFFF"/>
              <w:spacing w:line="240" w:lineRule="auto"/>
              <w:ind w:left="82"/>
              <w:rPr>
                <w:b/>
                <w:bCs/>
                <w:sz w:val="22"/>
                <w:szCs w:val="22"/>
              </w:rPr>
            </w:pPr>
          </w:p>
          <w:p w:rsidR="00814E9C" w:rsidRDefault="00814E9C">
            <w:pPr>
              <w:shd w:val="clear" w:color="auto" w:fill="FFFFFF"/>
              <w:spacing w:line="240" w:lineRule="auto"/>
              <w:ind w:left="82"/>
              <w:rPr>
                <w:b/>
                <w:bCs/>
                <w:sz w:val="22"/>
                <w:szCs w:val="22"/>
              </w:rPr>
            </w:pPr>
          </w:p>
          <w:p w:rsidR="006A26BB" w:rsidRPr="00407747" w:rsidRDefault="00727D51">
            <w:pPr>
              <w:shd w:val="clear" w:color="auto" w:fill="FFFFFF"/>
              <w:spacing w:line="240" w:lineRule="auto"/>
              <w:ind w:left="82"/>
            </w:pPr>
            <w:r w:rsidRPr="00407747">
              <w:rPr>
                <w:b/>
                <w:bCs/>
                <w:sz w:val="22"/>
                <w:szCs w:val="22"/>
              </w:rPr>
              <w:t xml:space="preserve">Oferujemy: </w:t>
            </w:r>
            <w:r w:rsidR="00814E9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6A26BB" w:rsidRPr="00407747" w:rsidRDefault="006A26BB">
            <w:pPr>
              <w:shd w:val="clear" w:color="auto" w:fill="FFFFFF"/>
              <w:spacing w:line="240" w:lineRule="auto"/>
              <w:ind w:left="82"/>
              <w:rPr>
                <w:b/>
                <w:bCs/>
                <w:sz w:val="22"/>
                <w:szCs w:val="22"/>
              </w:rPr>
            </w:pPr>
          </w:p>
          <w:p w:rsidR="006A26BB" w:rsidRPr="00407747" w:rsidRDefault="00660170">
            <w:pPr>
              <w:shd w:val="clear" w:color="auto" w:fill="FFFFFF"/>
              <w:spacing w:line="240" w:lineRule="auto"/>
              <w:ind w:left="82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HG Mincho Light J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    </w:t>
            </w:r>
            <w:r w:rsidR="00727D51" w:rsidRPr="00407747">
              <w:rPr>
                <w:rFonts w:eastAsia="HG Mincho Light J"/>
                <w:b/>
                <w:bCs/>
                <w:i/>
                <w:iCs/>
                <w:color w:val="000000"/>
                <w:sz w:val="22"/>
                <w:szCs w:val="22"/>
              </w:rPr>
              <w:t>(wskazać markę, model pojazdu, rok produkcji)</w:t>
            </w:r>
          </w:p>
          <w:p w:rsidR="006A26BB" w:rsidRPr="00407747" w:rsidRDefault="006A26BB">
            <w:pPr>
              <w:spacing w:line="240" w:lineRule="auto"/>
            </w:pPr>
          </w:p>
        </w:tc>
      </w:tr>
      <w:tr w:rsidR="006A26BB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  <w:vAlign w:val="center"/>
          </w:tcPr>
          <w:p w:rsidR="006A26BB" w:rsidRPr="00407747" w:rsidRDefault="00727D51">
            <w:pPr>
              <w:shd w:val="clear" w:color="auto" w:fill="FFFFFF"/>
              <w:spacing w:line="240" w:lineRule="auto"/>
              <w:ind w:left="82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0774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  <w:vAlign w:val="center"/>
          </w:tcPr>
          <w:p w:rsidR="006A26BB" w:rsidRPr="00407747" w:rsidRDefault="008E0993" w:rsidP="00561B04">
            <w:pPr>
              <w:shd w:val="clear" w:color="auto" w:fill="FFFFFF"/>
              <w:spacing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07747">
              <w:rPr>
                <w:b/>
                <w:bCs/>
                <w:spacing w:val="-1"/>
                <w:sz w:val="24"/>
                <w:szCs w:val="24"/>
              </w:rPr>
              <w:t>W</w:t>
            </w:r>
            <w:r w:rsidR="00727D51" w:rsidRPr="00407747">
              <w:rPr>
                <w:b/>
                <w:bCs/>
                <w:spacing w:val="-1"/>
                <w:sz w:val="24"/>
                <w:szCs w:val="24"/>
              </w:rPr>
              <w:t>ymagania Zamawiającego</w:t>
            </w:r>
          </w:p>
          <w:p w:rsidR="006A26BB" w:rsidRPr="00407747" w:rsidRDefault="00727D51" w:rsidP="00660170">
            <w:pPr>
              <w:shd w:val="clear" w:color="auto" w:fill="FFFFFF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b/>
                <w:bCs/>
                <w:spacing w:val="-1"/>
                <w:sz w:val="24"/>
                <w:szCs w:val="24"/>
              </w:rPr>
              <w:t xml:space="preserve">dla średniego samochodu </w:t>
            </w:r>
            <w:r w:rsidR="00660170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07747">
              <w:rPr>
                <w:rStyle w:val="Domylnaczcionkaakapitu1"/>
                <w:b/>
                <w:bCs/>
                <w:spacing w:val="-1"/>
                <w:sz w:val="24"/>
                <w:szCs w:val="24"/>
              </w:rPr>
              <w:t xml:space="preserve">ratowniczo – gaśniczego </w:t>
            </w:r>
            <w:r w:rsidRPr="00407747">
              <w:rPr>
                <w:rStyle w:val="Domylnaczcionkaakapitu1"/>
                <w:b/>
                <w:bCs/>
                <w:sz w:val="24"/>
                <w:szCs w:val="24"/>
              </w:rPr>
              <w:t>z napędem 4x4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  <w:vAlign w:val="center"/>
          </w:tcPr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b/>
                <w:bCs/>
                <w:i/>
                <w:iCs/>
              </w:rPr>
            </w:pPr>
            <w:r w:rsidRPr="00407747">
              <w:rPr>
                <w:b/>
                <w:bCs/>
                <w:sz w:val="22"/>
                <w:szCs w:val="22"/>
              </w:rPr>
              <w:t xml:space="preserve">Wypełnia Wykonawca </w:t>
            </w:r>
            <w:r w:rsidRPr="00407747">
              <w:rPr>
                <w:b/>
                <w:bCs/>
                <w:i/>
                <w:iCs/>
              </w:rPr>
              <w:t>wpisując:</w:t>
            </w:r>
          </w:p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b/>
                <w:bCs/>
                <w:i/>
                <w:iCs/>
              </w:rPr>
            </w:pPr>
            <w:r w:rsidRPr="00407747">
              <w:rPr>
                <w:b/>
                <w:bCs/>
                <w:i/>
                <w:iCs/>
              </w:rPr>
              <w:t xml:space="preserve">parametry, rozwiązania techniczne dostarczanego pojazdu </w:t>
            </w:r>
          </w:p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b/>
                <w:bCs/>
                <w:i/>
                <w:iCs/>
              </w:rPr>
            </w:pPr>
            <w:r w:rsidRPr="00407747">
              <w:rPr>
                <w:b/>
                <w:bCs/>
                <w:i/>
                <w:iCs/>
              </w:rPr>
              <w:t>lub</w:t>
            </w:r>
            <w:bookmarkStart w:id="0" w:name="_GoBack"/>
            <w:bookmarkEnd w:id="0"/>
          </w:p>
          <w:p w:rsidR="006A26BB" w:rsidRPr="00407747" w:rsidRDefault="00727D51">
            <w:pPr>
              <w:shd w:val="clear" w:color="auto" w:fill="FFFFFF"/>
              <w:spacing w:line="274" w:lineRule="exact"/>
              <w:ind w:left="-108" w:right="-106"/>
              <w:jc w:val="center"/>
            </w:pPr>
            <w:r w:rsidRPr="00407747">
              <w:rPr>
                <w:b/>
                <w:bCs/>
                <w:i/>
                <w:iCs/>
              </w:rPr>
              <w:t>spełnia/nie spełnia</w:t>
            </w:r>
          </w:p>
        </w:tc>
      </w:tr>
      <w:tr w:rsidR="006A26BB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6A26BB" w:rsidRPr="00407747" w:rsidRDefault="00727D51">
            <w:pPr>
              <w:shd w:val="clear" w:color="auto" w:fill="FFFFFF"/>
              <w:spacing w:before="20" w:line="240" w:lineRule="auto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407747">
              <w:rPr>
                <w:b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6A26BB" w:rsidRPr="00407747" w:rsidRDefault="00683AF2" w:rsidP="00561B04">
            <w:pPr>
              <w:shd w:val="clear" w:color="auto" w:fill="FFFFFF"/>
              <w:spacing w:before="20" w:line="240" w:lineRule="auto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Warunki ogólne</w:t>
            </w:r>
            <w:r w:rsidR="00727D51" w:rsidRPr="00407747">
              <w:rPr>
                <w:b/>
                <w:bCs/>
                <w:spacing w:val="-1"/>
                <w:sz w:val="22"/>
                <w:szCs w:val="22"/>
              </w:rPr>
              <w:t xml:space="preserve">:                                                                       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6A26BB" w:rsidRPr="00407747" w:rsidRDefault="006A26BB">
            <w:pPr>
              <w:spacing w:before="20" w:line="240" w:lineRule="auto"/>
              <w:rPr>
                <w:sz w:val="22"/>
                <w:szCs w:val="22"/>
              </w:rPr>
            </w:pPr>
          </w:p>
        </w:tc>
      </w:tr>
      <w:tr w:rsidR="006A26BB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6A26BB" w:rsidRPr="00407747" w:rsidRDefault="00727D51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 w:rsidRPr="00407747">
              <w:rPr>
                <w:sz w:val="22"/>
                <w:szCs w:val="22"/>
              </w:rPr>
              <w:t>1.1.</w:t>
            </w: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  <w:p w:rsidR="006A26BB" w:rsidRPr="00407747" w:rsidRDefault="006A26BB">
            <w:pPr>
              <w:shd w:val="clear" w:color="auto" w:fill="FFFFFF"/>
              <w:spacing w:before="20" w:line="240" w:lineRule="auto"/>
              <w:ind w:left="72"/>
              <w:rPr>
                <w:spacing w:val="-1"/>
                <w:sz w:val="22"/>
                <w:szCs w:val="22"/>
              </w:rPr>
            </w:pP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6A26BB" w:rsidRDefault="00727D51" w:rsidP="00561B04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Pojazd zabudowany i wyposażony musi spełniać wymagania:</w:t>
            </w:r>
          </w:p>
          <w:p w:rsidR="00407747" w:rsidRPr="00EA6239" w:rsidRDefault="00407747" w:rsidP="00561B04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ustawy z dnia 20 czerwca 1997 r. Prawo o ruchu drogowym (tj. Dz. U. z 2017 r., poz. 1260 ), wraz z</w:t>
            </w:r>
            <w:r w:rsidR="00561B04" w:rsidRPr="00EA6239">
              <w:rPr>
                <w:spacing w:val="-1"/>
                <w:sz w:val="22"/>
                <w:szCs w:val="22"/>
              </w:rPr>
              <w:t> </w:t>
            </w:r>
            <w:r w:rsidRPr="00EA6239">
              <w:rPr>
                <w:spacing w:val="-1"/>
                <w:sz w:val="22"/>
                <w:szCs w:val="22"/>
              </w:rPr>
              <w:t>przepisami wykonawczymi do tej ustawy,</w:t>
            </w:r>
          </w:p>
          <w:p w:rsidR="00407747" w:rsidRPr="00EA6239" w:rsidRDefault="00407747" w:rsidP="00561B04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Rozporządzenia Ministra Spraw </w:t>
            </w:r>
            <w:r w:rsidR="00E17E2A" w:rsidRPr="00EA6239">
              <w:rPr>
                <w:spacing w:val="-1"/>
                <w:sz w:val="22"/>
                <w:szCs w:val="22"/>
              </w:rPr>
              <w:t>Wewnętrznych i</w:t>
            </w:r>
            <w:r w:rsidRPr="00EA6239">
              <w:rPr>
                <w:spacing w:val="-1"/>
                <w:sz w:val="22"/>
                <w:szCs w:val="22"/>
              </w:rPr>
              <w:t xml:space="preserve"> Administracji z dnia 20 czerwca 2007r. w sprawie wykazu wyrobów służących zapewnieniu bezpieczeństwa publicznego lub ochronie zdrowia i życia oraz mienia, a także zasad wydawania dopuszczenia tych wyrobów do użytkowania (tj. Dz. U. z 2007 r, Nr 143 poz. 1002 z </w:t>
            </w:r>
            <w:proofErr w:type="spellStart"/>
            <w:r w:rsidRPr="00EA6239">
              <w:rPr>
                <w:spacing w:val="-1"/>
                <w:sz w:val="22"/>
                <w:szCs w:val="22"/>
              </w:rPr>
              <w:t>późn</w:t>
            </w:r>
            <w:proofErr w:type="spellEnd"/>
            <w:r w:rsidRPr="00EA6239">
              <w:rPr>
                <w:spacing w:val="-1"/>
                <w:sz w:val="22"/>
                <w:szCs w:val="22"/>
              </w:rPr>
              <w:t>. zm.),</w:t>
            </w:r>
          </w:p>
          <w:p w:rsidR="00561B04" w:rsidRPr="00EA6239" w:rsidRDefault="00561B04" w:rsidP="00561B04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R</w:t>
            </w:r>
            <w:r w:rsidRPr="00EA6239">
              <w:rPr>
                <w:sz w:val="22"/>
                <w:szCs w:val="22"/>
              </w:rPr>
              <w:t>ozporządzenie ministrów: S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praw Wewnętrznych</w:t>
            </w:r>
            <w:r w:rsidRPr="00EA6239">
              <w:rPr>
                <w:sz w:val="22"/>
                <w:szCs w:val="22"/>
              </w:rPr>
              <w:t xml:space="preserve"> i </w:t>
            </w:r>
            <w:r w:rsidR="00E17E2A" w:rsidRPr="00EA6239">
              <w:rPr>
                <w:sz w:val="22"/>
                <w:szCs w:val="22"/>
              </w:rPr>
              <w:t xml:space="preserve">Administracji, </w:t>
            </w:r>
            <w:r w:rsidRPr="00EA6239">
              <w:rPr>
                <w:sz w:val="22"/>
                <w:szCs w:val="22"/>
              </w:rPr>
              <w:t xml:space="preserve">Obrony Narodowej, Rozwoju i Finansów oraz Sprawiedliwości z dnia 1 marca 2017 r. w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sprawie pojazdów specjalnych</w:t>
            </w:r>
            <w:r w:rsidRPr="00EA6239">
              <w:rPr>
                <w:sz w:val="22"/>
                <w:szCs w:val="22"/>
              </w:rPr>
              <w:t xml:space="preserve"> i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używanych</w:t>
            </w:r>
            <w:r w:rsidRPr="00EA6239">
              <w:rPr>
                <w:sz w:val="22"/>
                <w:szCs w:val="22"/>
              </w:rPr>
              <w:t xml:space="preserve"> do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celów specjalnych Policji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Agencji Bezpieczeństwa Wewnętrznego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Agencji Wywiadu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Służby Kontrwywiadu Wojskowego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Służby Wywiadu Wojskowego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Centralnego Biura Antykorupcyjnego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Straży Granicznej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Biura</w:t>
            </w:r>
            <w:r w:rsidRPr="00EA6239">
              <w:rPr>
                <w:sz w:val="22"/>
                <w:szCs w:val="22"/>
              </w:rPr>
              <w:t xml:space="preserve"> Ochrony Rządu, Krajowej Administracji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Skarbowej</w:t>
            </w:r>
            <w:r w:rsidRPr="00EA6239">
              <w:rPr>
                <w:sz w:val="22"/>
                <w:szCs w:val="22"/>
              </w:rPr>
              <w:t xml:space="preserve">, 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Służby Więziennej</w:t>
            </w:r>
            <w:r w:rsidRPr="00EA6239">
              <w:rPr>
                <w:sz w:val="22"/>
                <w:szCs w:val="22"/>
              </w:rPr>
              <w:t xml:space="preserve"> i </w:t>
            </w:r>
            <w:r w:rsidRPr="00EA6239">
              <w:rPr>
                <w:rStyle w:val="Wyrnienie"/>
                <w:i w:val="0"/>
                <w:iCs w:val="0"/>
                <w:sz w:val="22"/>
                <w:szCs w:val="22"/>
              </w:rPr>
              <w:t>straży pożarnej (Dz.U. z 2019 r, poz. 594),</w:t>
            </w:r>
          </w:p>
          <w:p w:rsidR="00561B04" w:rsidRDefault="00561B04" w:rsidP="00561B04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norm PN-EN 1846-1 i PN-EN 1846-2 (lub równoważnych)</w:t>
            </w:r>
          </w:p>
          <w:p w:rsidR="006A26BB" w:rsidRPr="0062409E" w:rsidRDefault="00727D51" w:rsidP="00E17E2A">
            <w:pPr>
              <w:shd w:val="clear" w:color="auto" w:fill="FFFFFF"/>
              <w:ind w:left="298" w:hanging="298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- Rozporządzenia Ministra Infrastruktury z dnia 31 grudnia 2002 r. w sprawie warunków technicznych pojazdów oraz zakresu ich niezbędnego wyposażenia (tj. Dz. U. </w:t>
            </w:r>
            <w:r w:rsidR="00E17E2A" w:rsidRPr="00407747">
              <w:rPr>
                <w:spacing w:val="-1"/>
                <w:sz w:val="22"/>
                <w:szCs w:val="22"/>
              </w:rPr>
              <w:t>z 2016 r</w:t>
            </w:r>
            <w:r w:rsidRPr="00407747">
              <w:rPr>
                <w:spacing w:val="-1"/>
                <w:sz w:val="22"/>
                <w:szCs w:val="22"/>
              </w:rPr>
              <w:t>., poz</w:t>
            </w:r>
            <w:r w:rsidR="00E17E2A" w:rsidRPr="00407747">
              <w:rPr>
                <w:spacing w:val="-1"/>
                <w:sz w:val="22"/>
                <w:szCs w:val="22"/>
              </w:rPr>
              <w:t>. 2022), z</w:t>
            </w:r>
            <w:r w:rsidRPr="00407747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07747">
              <w:rPr>
                <w:spacing w:val="-1"/>
                <w:sz w:val="22"/>
                <w:szCs w:val="22"/>
              </w:rPr>
              <w:t>pó</w:t>
            </w:r>
            <w:r w:rsidR="0062409E">
              <w:rPr>
                <w:spacing w:val="-1"/>
                <w:sz w:val="22"/>
                <w:szCs w:val="22"/>
              </w:rPr>
              <w:t>ź</w:t>
            </w:r>
            <w:r w:rsidRPr="00407747">
              <w:rPr>
                <w:spacing w:val="-1"/>
                <w:sz w:val="22"/>
                <w:szCs w:val="22"/>
              </w:rPr>
              <w:t>n</w:t>
            </w:r>
            <w:proofErr w:type="spellEnd"/>
            <w:r w:rsidRPr="00407747">
              <w:rPr>
                <w:spacing w:val="-1"/>
                <w:sz w:val="22"/>
                <w:szCs w:val="22"/>
              </w:rPr>
              <w:t xml:space="preserve">. </w:t>
            </w:r>
            <w:r w:rsidR="00E17E2A">
              <w:rPr>
                <w:spacing w:val="-1"/>
                <w:sz w:val="22"/>
                <w:szCs w:val="22"/>
              </w:rPr>
              <w:t>zm.</w:t>
            </w:r>
            <w:r w:rsidRPr="00407747">
              <w:rPr>
                <w:spacing w:val="-1"/>
                <w:sz w:val="22"/>
                <w:szCs w:val="22"/>
              </w:rPr>
              <w:t>,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6A26BB" w:rsidRPr="00407747" w:rsidRDefault="006A26BB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A26BB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6A26BB" w:rsidRPr="00407747" w:rsidRDefault="00727D51">
            <w:pPr>
              <w:shd w:val="clear" w:color="auto" w:fill="FFFFFF"/>
              <w:spacing w:before="20" w:line="240" w:lineRule="auto"/>
              <w:ind w:left="72"/>
              <w:jc w:val="center"/>
              <w:rPr>
                <w:spacing w:val="-1"/>
                <w:sz w:val="22"/>
                <w:szCs w:val="22"/>
              </w:rPr>
            </w:pPr>
            <w:r w:rsidRPr="00407747">
              <w:rPr>
                <w:sz w:val="22"/>
                <w:szCs w:val="22"/>
              </w:rPr>
              <w:t>1.2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6A26BB" w:rsidRPr="00EA6239" w:rsidRDefault="00727D51" w:rsidP="00E17E2A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Pojazd musi posiadać najpóźniej w dniu odbioru techniczno</w:t>
            </w:r>
            <w:r w:rsidR="00C77339" w:rsidRPr="00EA6239">
              <w:rPr>
                <w:spacing w:val="-1"/>
                <w:sz w:val="22"/>
                <w:szCs w:val="22"/>
              </w:rPr>
              <w:t>–</w:t>
            </w:r>
            <w:r w:rsidRPr="00EA6239">
              <w:rPr>
                <w:spacing w:val="-1"/>
                <w:sz w:val="22"/>
                <w:szCs w:val="22"/>
              </w:rPr>
              <w:t xml:space="preserve"> jakościowego ważne świadectwo dopuszczenia zgodnie z Rozporządzeniem Ministra Spraw </w:t>
            </w:r>
            <w:r w:rsidR="00E17E2A" w:rsidRPr="00EA6239">
              <w:rPr>
                <w:spacing w:val="-1"/>
                <w:sz w:val="22"/>
                <w:szCs w:val="22"/>
              </w:rPr>
              <w:t>Wewnętrznych i</w:t>
            </w:r>
            <w:r w:rsidRPr="00EA6239">
              <w:rPr>
                <w:spacing w:val="-1"/>
                <w:sz w:val="22"/>
                <w:szCs w:val="22"/>
              </w:rPr>
              <w:t xml:space="preserve"> Administracji z dnia 20</w:t>
            </w:r>
            <w:r w:rsidR="00E17E2A" w:rsidRPr="00EA6239">
              <w:rPr>
                <w:spacing w:val="-1"/>
                <w:sz w:val="22"/>
                <w:szCs w:val="22"/>
              </w:rPr>
              <w:t> </w:t>
            </w:r>
            <w:r w:rsidRPr="00EA6239">
              <w:rPr>
                <w:spacing w:val="-1"/>
                <w:sz w:val="22"/>
                <w:szCs w:val="22"/>
              </w:rPr>
              <w:t xml:space="preserve">czerwca 2007r. w sprawie wykazu wyrobów służących zapewnieniu bezpieczeństwa publicznego lub ochronie zdrowia i życia oraz mienia, a także zasad wydawania dopuszczenia tych wyrobów do użytkowania(tj. Dz. </w:t>
            </w:r>
            <w:r w:rsidRPr="00EA6239">
              <w:rPr>
                <w:spacing w:val="-1"/>
                <w:sz w:val="22"/>
                <w:szCs w:val="22"/>
              </w:rPr>
              <w:lastRenderedPageBreak/>
              <w:t xml:space="preserve">U. z 2007 r, Nr 143 poz. 1002 z </w:t>
            </w:r>
            <w:proofErr w:type="spellStart"/>
            <w:r w:rsidRPr="00EA6239">
              <w:rPr>
                <w:spacing w:val="-1"/>
                <w:sz w:val="22"/>
                <w:szCs w:val="22"/>
              </w:rPr>
              <w:t>późn</w:t>
            </w:r>
            <w:proofErr w:type="spellEnd"/>
            <w:r w:rsidRPr="00EA6239">
              <w:rPr>
                <w:spacing w:val="-1"/>
                <w:sz w:val="22"/>
                <w:szCs w:val="22"/>
              </w:rPr>
              <w:t>. zm.)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6A26BB" w:rsidRPr="00407747" w:rsidRDefault="006A26BB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477E6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9477E6" w:rsidRPr="00407747" w:rsidRDefault="002A5460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9477E6" w:rsidRPr="00EA6239" w:rsidRDefault="009477E6" w:rsidP="002A5460">
            <w:pPr>
              <w:spacing w:before="20" w:line="240" w:lineRule="auto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Pojazd musi być oznakowany</w:t>
            </w:r>
            <w:r w:rsidR="002A5460" w:rsidRPr="00EA6239">
              <w:rPr>
                <w:spacing w:val="-1"/>
                <w:sz w:val="22"/>
                <w:szCs w:val="22"/>
              </w:rPr>
              <w:t xml:space="preserve"> numerami operacyjnymi</w:t>
            </w:r>
            <w:r w:rsidRPr="00EA6239">
              <w:rPr>
                <w:spacing w:val="-1"/>
                <w:sz w:val="22"/>
                <w:szCs w:val="22"/>
              </w:rPr>
              <w:t xml:space="preserve"> Państwowej Straży Pożarnej</w:t>
            </w:r>
            <w:r w:rsidR="002A5460" w:rsidRPr="00EA6239">
              <w:rPr>
                <w:spacing w:val="-1"/>
                <w:sz w:val="22"/>
                <w:szCs w:val="22"/>
              </w:rPr>
              <w:t xml:space="preserve"> zgodnie z zarządzeniem nr 3 Komendanta Głównego Państwowej Straży Pożarnej z dnia 29 stycznia 2019 r.</w:t>
            </w:r>
            <w:r w:rsidRPr="00EA6239">
              <w:rPr>
                <w:spacing w:val="-1"/>
                <w:sz w:val="22"/>
                <w:szCs w:val="22"/>
              </w:rPr>
              <w:t xml:space="preserve"> w</w:t>
            </w:r>
            <w:r w:rsidR="002A5460" w:rsidRPr="00EA6239">
              <w:rPr>
                <w:spacing w:val="-1"/>
                <w:sz w:val="22"/>
                <w:szCs w:val="22"/>
              </w:rPr>
              <w:t> </w:t>
            </w:r>
            <w:r w:rsidRPr="00EA6239">
              <w:rPr>
                <w:spacing w:val="-1"/>
                <w:sz w:val="22"/>
                <w:szCs w:val="22"/>
              </w:rPr>
              <w:t>sprawie g</w:t>
            </w:r>
            <w:smartTag w:uri="urn:schemas-microsoft-com:office:smarttags" w:element="PersonName">
              <w:r w:rsidRPr="00EA6239">
                <w:rPr>
                  <w:spacing w:val="-1"/>
                  <w:sz w:val="22"/>
                  <w:szCs w:val="22"/>
                </w:rPr>
                <w:t>osp</w:t>
              </w:r>
            </w:smartTag>
            <w:r w:rsidRPr="00EA6239">
              <w:rPr>
                <w:spacing w:val="-1"/>
                <w:sz w:val="22"/>
                <w:szCs w:val="22"/>
              </w:rPr>
              <w:t>odarki transportowej w jednostkach organizacyjnych Państwowej Straży Pożarnej</w:t>
            </w:r>
            <w:r w:rsidR="002A5460" w:rsidRPr="00EA6239">
              <w:rPr>
                <w:spacing w:val="-1"/>
                <w:sz w:val="22"/>
                <w:szCs w:val="22"/>
              </w:rPr>
              <w:t xml:space="preserve"> (Dz. Urz. KG PSP z 2019 r., poz. 5)</w:t>
            </w:r>
            <w:r w:rsidRPr="00EA6239">
              <w:rPr>
                <w:spacing w:val="-1"/>
                <w:sz w:val="22"/>
                <w:szCs w:val="22"/>
              </w:rPr>
              <w:t>.</w:t>
            </w:r>
          </w:p>
          <w:p w:rsidR="009477E6" w:rsidRPr="00EA6239" w:rsidRDefault="009477E6" w:rsidP="009477E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Dodatkowo na tylnej ścianie pojazdu oznakowanie odblaskowe w postaci ukośnych pasów koloru żółtego na przemian z kolorem czerwonym. Szerokość jednego pasa min. 10cm.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9477E6" w:rsidRPr="00407747" w:rsidRDefault="009477E6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733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77339" w:rsidRDefault="00C7733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77339" w:rsidRPr="00C77339" w:rsidRDefault="00C77339" w:rsidP="002A5460">
            <w:pPr>
              <w:spacing w:before="20" w:line="240" w:lineRule="auto"/>
              <w:jc w:val="both"/>
              <w:rPr>
                <w:b/>
                <w:spacing w:val="-1"/>
                <w:sz w:val="22"/>
                <w:szCs w:val="22"/>
              </w:rPr>
            </w:pPr>
            <w:r w:rsidRPr="00C77339">
              <w:rPr>
                <w:b/>
                <w:spacing w:val="-1"/>
                <w:sz w:val="22"/>
                <w:szCs w:val="22"/>
              </w:rPr>
              <w:t>Podwozie z kabiną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77339" w:rsidRPr="00407747" w:rsidRDefault="00C7733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733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77339" w:rsidRDefault="00C7733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77339" w:rsidRPr="00EA6239" w:rsidRDefault="00C77339" w:rsidP="00C77339">
            <w:pPr>
              <w:spacing w:before="20" w:line="240" w:lineRule="auto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Pojazd fabrycznie nowy, silnik i podwozie wraz z kabiną pochodzące od tego samego producenta, rok produkcji podwozia zgodny z rokiem dostawy pojazdu.</w:t>
            </w:r>
          </w:p>
          <w:p w:rsidR="00C77339" w:rsidRPr="00EA6239" w:rsidRDefault="00C77339" w:rsidP="002A5460">
            <w:pPr>
              <w:spacing w:before="2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77339" w:rsidRPr="00EA6239" w:rsidRDefault="00C77339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</w:rPr>
            </w:pPr>
            <w:r w:rsidRPr="00EA6239">
              <w:rPr>
                <w:bCs/>
                <w:sz w:val="22"/>
                <w:szCs w:val="22"/>
              </w:rPr>
              <w:t>Podać producenta, typ i model podwozia oraz rok produkcji</w:t>
            </w:r>
          </w:p>
        </w:tc>
      </w:tr>
      <w:tr w:rsidR="00CA3AF3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A3AF3" w:rsidRDefault="00CA3AF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A3AF3" w:rsidRPr="00EA6239" w:rsidRDefault="00CA3AF3" w:rsidP="005278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>Pojazd musi spełniać wymagania dla klasy średniej M wg. PN-EN 1846-1 lub równorzędnej.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A3AF3" w:rsidRPr="00C77339" w:rsidRDefault="00CA3AF3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CA3AF3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A3AF3" w:rsidRDefault="004453AE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A3AF3" w:rsidRPr="00EA6239" w:rsidRDefault="00CA3AF3" w:rsidP="005278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>Pojazd musi spełniać wymagania kat. 2- uterenowiony wg. PN-EN 1846-1 lub równorzędnej.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A3AF3" w:rsidRPr="00C77339" w:rsidRDefault="00CA3AF3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4453AE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4453AE" w:rsidRDefault="00C9112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4453AE" w:rsidRPr="00EA6239" w:rsidRDefault="004453AE" w:rsidP="00C9112B">
            <w:pPr>
              <w:shd w:val="clear" w:color="auto" w:fill="FFFFFF"/>
              <w:spacing w:before="20" w:line="250" w:lineRule="exac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Maksymalna masa rzeczywista samochodu gotowego do akcji ratowniczo- gaśniczej nie może przekraczać </w:t>
            </w:r>
            <w:smartTag w:uri="urn:schemas-microsoft-com:office:smarttags" w:element="metricconverter">
              <w:smartTagPr>
                <w:attr w:name="ProductID" w:val="16.000 kg"/>
              </w:smartTagPr>
              <w:r w:rsidRPr="00EA6239">
                <w:rPr>
                  <w:spacing w:val="-1"/>
                  <w:sz w:val="22"/>
                  <w:szCs w:val="22"/>
                </w:rPr>
                <w:t>16.000 kg</w:t>
              </w:r>
            </w:smartTag>
            <w:r w:rsidRPr="00EA6239">
              <w:rPr>
                <w:spacing w:val="-1"/>
                <w:sz w:val="22"/>
                <w:szCs w:val="22"/>
              </w:rPr>
              <w:t>. (pojazd z załogą, pełnymi zbiornikami, zabudową i wyposażeniem) jednocześnie rozkład tej masy na osie oraz masa przypadająca na każdą z osi nie może przekraczać wartości określonych przez producenta pojazdu lub podwozia bazowego. Rezerwa masy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="00C9112B" w:rsidRPr="00EA6239">
              <w:rPr>
                <w:spacing w:val="-1"/>
                <w:sz w:val="22"/>
                <w:szCs w:val="22"/>
              </w:rPr>
              <w:t xml:space="preserve">między MMR a DMC min. 10%. </w:t>
            </w:r>
            <w:r w:rsidRPr="00EA6239">
              <w:rPr>
                <w:spacing w:val="-1"/>
                <w:sz w:val="22"/>
                <w:szCs w:val="22"/>
              </w:rPr>
              <w:t>Dopuszczalna różnica w obciążeniu strony lewej i prawej nie może przekroczyć 3%.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4453AE" w:rsidRPr="00C77339" w:rsidRDefault="004453AE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C9112B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9112B" w:rsidRDefault="000F3A2C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0F3A2C" w:rsidRPr="00EA6239" w:rsidRDefault="000F3A2C" w:rsidP="000F3A2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rStyle w:val="Domylnaczcionkaakapitu1"/>
                <w:spacing w:val="-1"/>
                <w:sz w:val="22"/>
                <w:szCs w:val="22"/>
              </w:rPr>
              <w:t xml:space="preserve">Pojazd wyposażony w urządzenie sygnalizacyjno- ostrzegawcze świetlne i dźwiękowe </w:t>
            </w:r>
            <w:r w:rsidRPr="00EA6239">
              <w:rPr>
                <w:rStyle w:val="Domylnaczcionkaakapitu1"/>
                <w:color w:val="000000"/>
                <w:spacing w:val="-1"/>
                <w:sz w:val="22"/>
                <w:szCs w:val="22"/>
              </w:rPr>
              <w:t>pojazdu uprzywilejowanego</w:t>
            </w:r>
            <w:r w:rsidRPr="00EA6239">
              <w:rPr>
                <w:rStyle w:val="Domylnaczcionkaakapitu1"/>
                <w:spacing w:val="-1"/>
                <w:sz w:val="22"/>
                <w:szCs w:val="22"/>
              </w:rPr>
              <w:t>.</w:t>
            </w:r>
          </w:p>
          <w:p w:rsidR="000F3A2C" w:rsidRPr="00EA6239" w:rsidRDefault="000F3A2C" w:rsidP="00530CCD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belka lub dwie lamy sygnalizacyjne niebieskie wykonane w technologii LED, zamontowane na dachu kabiny kierowcy,</w:t>
            </w:r>
          </w:p>
          <w:p w:rsidR="000F3A2C" w:rsidRPr="00EA6239" w:rsidRDefault="000F3A2C" w:rsidP="000F3A2C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</w:t>
            </w:r>
            <w:r w:rsidR="009F0F67" w:rsidRPr="00EA6239">
              <w:rPr>
                <w:spacing w:val="-1"/>
                <w:sz w:val="22"/>
                <w:szCs w:val="22"/>
              </w:rPr>
              <w:t xml:space="preserve">z tyłu </w:t>
            </w:r>
            <w:r w:rsidRPr="00EA6239">
              <w:rPr>
                <w:spacing w:val="-1"/>
                <w:sz w:val="22"/>
                <w:szCs w:val="22"/>
              </w:rPr>
              <w:t>dwie lampy sygnalizacyjne</w:t>
            </w:r>
            <w:r w:rsidR="000E4FAE" w:rsidRPr="00EA6239">
              <w:rPr>
                <w:spacing w:val="-1"/>
                <w:sz w:val="22"/>
                <w:szCs w:val="22"/>
              </w:rPr>
              <w:t xml:space="preserve"> niebieskie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="00042A87" w:rsidRPr="00EA6239">
              <w:rPr>
                <w:spacing w:val="-1"/>
                <w:sz w:val="22"/>
                <w:szCs w:val="22"/>
              </w:rPr>
              <w:t xml:space="preserve">typu LED </w:t>
            </w:r>
            <w:r w:rsidRPr="00EA6239">
              <w:rPr>
                <w:spacing w:val="-1"/>
                <w:sz w:val="22"/>
                <w:szCs w:val="22"/>
              </w:rPr>
              <w:t xml:space="preserve">umieszczone w narożnikach górnych zabudowy, widoczne zarówno z tyłu jak i boków pojazdu oraz dwie lampy sygnalizacyjne niebieskie </w:t>
            </w:r>
            <w:r w:rsidR="002F3B07" w:rsidRPr="00EA6239">
              <w:rPr>
                <w:spacing w:val="-1"/>
                <w:sz w:val="22"/>
                <w:szCs w:val="22"/>
              </w:rPr>
              <w:t xml:space="preserve">typu LED </w:t>
            </w:r>
            <w:r w:rsidRPr="00EA6239">
              <w:rPr>
                <w:spacing w:val="-1"/>
                <w:sz w:val="22"/>
                <w:szCs w:val="22"/>
              </w:rPr>
              <w:t>w połowie wysokości zabudowy</w:t>
            </w:r>
            <w:r w:rsidR="002F3B07" w:rsidRPr="00EA6239">
              <w:rPr>
                <w:spacing w:val="-1"/>
                <w:sz w:val="22"/>
                <w:szCs w:val="22"/>
              </w:rPr>
              <w:t xml:space="preserve"> z możliwością wyłączenia z kabiny kierowcy w przypadku jazdy w kolumnie</w:t>
            </w:r>
            <w:r w:rsidR="001825D8" w:rsidRPr="00EA6239">
              <w:rPr>
                <w:spacing w:val="-1"/>
                <w:sz w:val="22"/>
                <w:szCs w:val="22"/>
              </w:rPr>
              <w:t>,</w:t>
            </w:r>
          </w:p>
          <w:p w:rsidR="000F3A2C" w:rsidRPr="00EA6239" w:rsidRDefault="000F3A2C" w:rsidP="000F3A2C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dwie lampy sygnalizacyjne niebieskie umieszczone na pokrywie silnika, na wysokości lusterek wstecznych samochodu osobowego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="00E17E2A" w:rsidRPr="00EA6239">
              <w:rPr>
                <w:spacing w:val="-1"/>
                <w:sz w:val="22"/>
                <w:szCs w:val="22"/>
              </w:rPr>
              <w:t>i dodatkowo</w:t>
            </w:r>
            <w:r w:rsidRPr="00EA6239">
              <w:rPr>
                <w:spacing w:val="-1"/>
                <w:sz w:val="22"/>
                <w:szCs w:val="22"/>
              </w:rPr>
              <w:t xml:space="preserve"> po jednej lampie niebieskiej na każdym boku zabudowy (w górnej części zabudowy, za kabiną pojazdu)</w:t>
            </w:r>
          </w:p>
          <w:p w:rsidR="000F3A2C" w:rsidRPr="00EA6239" w:rsidRDefault="000F3A2C" w:rsidP="000F3A2C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z tyłu pojazdu umieszczona fala świetlna LED koloru pomarańczowego (sterowanie z przedziału autopompy).</w:t>
            </w:r>
          </w:p>
          <w:p w:rsidR="00C9112B" w:rsidRPr="00EA6239" w:rsidRDefault="000F3A2C" w:rsidP="000F3A2C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urządzenie dźwiękowe (minimum trzy modulowane tony) wyposażone w funkcję megafonu. Wzmacniacz </w:t>
            </w:r>
            <w:r w:rsidRPr="00EA6239">
              <w:rPr>
                <w:spacing w:val="-1"/>
                <w:sz w:val="22"/>
                <w:szCs w:val="22"/>
              </w:rPr>
              <w:lastRenderedPageBreak/>
              <w:t>o mocy min. 200 W (lub 2 x 100 W) z głośnikiem o mocy min. 200W (lub 2 x 100W). Miejsce zamontowania sterownika i mikrofonu w kabinie, zapewniające łatwy dostęp dla kierowcy i dowódcy.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9112B" w:rsidRPr="00C77339" w:rsidRDefault="00C9112B">
            <w:pPr>
              <w:snapToGrid w:val="0"/>
              <w:spacing w:before="20" w:line="240" w:lineRule="auto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0F3A2C" w:rsidRPr="00407747" w:rsidTr="00EA6239">
        <w:trPr>
          <w:trHeight w:val="196"/>
        </w:trPr>
        <w:tc>
          <w:tcPr>
            <w:tcW w:w="849" w:type="dxa"/>
            <w:vMerge w:val="restart"/>
            <w:shd w:val="clear" w:color="auto" w:fill="auto"/>
            <w:tcMar>
              <w:left w:w="98" w:type="dxa"/>
            </w:tcMar>
          </w:tcPr>
          <w:p w:rsidR="000F3A2C" w:rsidRPr="00407747" w:rsidRDefault="000F3A2C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0F3A2C" w:rsidRPr="00EA6239" w:rsidRDefault="000F3A2C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Podwozie pojazdu musi spełniać min. następujące warunki: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0F3A2C" w:rsidRPr="00407747" w:rsidRDefault="000F3A2C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F3A2C" w:rsidRPr="00407747" w:rsidTr="00EA6239">
        <w:trPr>
          <w:trHeight w:val="196"/>
        </w:trPr>
        <w:tc>
          <w:tcPr>
            <w:tcW w:w="849" w:type="dxa"/>
            <w:vMerge/>
            <w:shd w:val="clear" w:color="auto" w:fill="auto"/>
            <w:tcMar>
              <w:left w:w="98" w:type="dxa"/>
            </w:tcMar>
          </w:tcPr>
          <w:p w:rsidR="000F3A2C" w:rsidRDefault="000F3A2C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0F3A2C" w:rsidRPr="00EA6239" w:rsidRDefault="00990B93" w:rsidP="00990B9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rStyle w:val="Domylnaczcionkaakapitu1"/>
                <w:spacing w:val="-1"/>
                <w:sz w:val="22"/>
                <w:szCs w:val="22"/>
              </w:rPr>
              <w:t>- układ jezdny - napęd 4x4 z blokadami mechanizmó</w:t>
            </w:r>
            <w:r w:rsidR="00E17E2A" w:rsidRPr="00EA6239">
              <w:rPr>
                <w:rStyle w:val="Domylnaczcionkaakapitu1"/>
                <w:spacing w:val="-1"/>
                <w:sz w:val="22"/>
                <w:szCs w:val="22"/>
              </w:rPr>
              <w:t>w różnicowych mostów napędowych,</w:t>
            </w:r>
            <w:r w:rsidR="00814E9C">
              <w:rPr>
                <w:rStyle w:val="Domylnaczcionkaakapitu1"/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rStyle w:val="Domylnaczcionkaakapitu1"/>
                <w:spacing w:val="-1"/>
                <w:sz w:val="22"/>
                <w:szCs w:val="22"/>
              </w:rPr>
              <w:t>z możliwością odłączenia napędu osi przedniej.</w:t>
            </w:r>
            <w:r w:rsidR="00814E9C">
              <w:rPr>
                <w:rStyle w:val="Domylnaczcionkaakapitu1"/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rStyle w:val="Domylnaczcionkaakapitu1"/>
                <w:spacing w:val="-1"/>
                <w:sz w:val="22"/>
                <w:szCs w:val="22"/>
              </w:rPr>
              <w:t>Koła wyposażone w</w:t>
            </w:r>
            <w:r w:rsidR="00E17E2A" w:rsidRPr="00EA6239">
              <w:rPr>
                <w:rStyle w:val="Domylnaczcionkaakapitu1"/>
                <w:spacing w:val="-1"/>
                <w:sz w:val="22"/>
                <w:szCs w:val="22"/>
              </w:rPr>
              <w:t xml:space="preserve"> ogumienie </w:t>
            </w:r>
            <w:r w:rsidRPr="00EA6239">
              <w:rPr>
                <w:spacing w:val="-1"/>
                <w:sz w:val="22"/>
                <w:szCs w:val="22"/>
                <w:lang w:bidi="pl-PL"/>
              </w:rPr>
              <w:t>uniwersalne</w:t>
            </w:r>
            <w:r w:rsidRPr="00EA6239">
              <w:rPr>
                <w:spacing w:val="-1"/>
                <w:sz w:val="22"/>
                <w:szCs w:val="22"/>
              </w:rPr>
              <w:t xml:space="preserve"> wielosezonowe.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0F3A2C" w:rsidRPr="00407747" w:rsidRDefault="000F3A2C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F3A2C" w:rsidRPr="00407747" w:rsidTr="00EA6239">
        <w:trPr>
          <w:trHeight w:val="196"/>
        </w:trPr>
        <w:tc>
          <w:tcPr>
            <w:tcW w:w="849" w:type="dxa"/>
            <w:vMerge/>
            <w:shd w:val="clear" w:color="auto" w:fill="auto"/>
            <w:tcMar>
              <w:left w:w="98" w:type="dxa"/>
            </w:tcMar>
          </w:tcPr>
          <w:p w:rsidR="000F3A2C" w:rsidRDefault="000F3A2C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0F3A2C" w:rsidRPr="00EA6239" w:rsidRDefault="00F00300" w:rsidP="00F0030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układ hamulcowy wyposażony w system zapobiegania poślizgowi kół podczas hamowania ABS lub równoważny. Układ hamulcowy pojazdu pneumatyczny, 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0F3A2C" w:rsidRPr="00407747" w:rsidRDefault="000F3A2C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00300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00300" w:rsidRDefault="00F00300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00300" w:rsidRPr="00EA6239" w:rsidRDefault="00F00300" w:rsidP="00F0030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Pojazd wyposażony w tylny zderzak lub urządzenie ochronne, zabezpieczające przed wjechaniem pod niego innego pojazdu.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00300" w:rsidRPr="00407747" w:rsidRDefault="00F00300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00300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00300" w:rsidRDefault="00DF6143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DF6143" w:rsidRPr="00EA6239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Kabina fabrycznie czterodrzwiowa, jednomodułowa na bazie jednej płyty podłogowej, zawieszona pneumatycznie, zapewniająca dostęp do silnika, 6 osobowa w układzie miejsc 1+1+4 (siedzenia przodem do kierunku jazdy). Wszystkie miejsca wyposażone w trzypunktowe bezwładnościowe pasy </w:t>
            </w:r>
            <w:r w:rsidR="00E17E2A" w:rsidRPr="00EA6239">
              <w:rPr>
                <w:spacing w:val="-1"/>
                <w:sz w:val="22"/>
                <w:szCs w:val="22"/>
              </w:rPr>
              <w:t>bezpieczeństwa i</w:t>
            </w:r>
            <w:r w:rsidRPr="00EA6239">
              <w:rPr>
                <w:spacing w:val="-1"/>
                <w:sz w:val="22"/>
                <w:szCs w:val="22"/>
              </w:rPr>
              <w:t xml:space="preserve"> zagłówki.</w:t>
            </w:r>
          </w:p>
          <w:p w:rsidR="00233BD0" w:rsidRPr="00EA6239" w:rsidRDefault="00233BD0" w:rsidP="00233BD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Kabina wyposażona dodatkowo:</w:t>
            </w:r>
          </w:p>
          <w:p w:rsidR="00233BD0" w:rsidRPr="00EA6239" w:rsidRDefault="00233BD0" w:rsidP="00233BD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uchwyty na cztery aparaty oddechowe umieszczone w oparciach siedzeń tylnych, uchwyty pasujące do butli stalowych i kompozytowych umożliwiające zakładanie aparatów w pozycji siedzącej bez konieczności wcześniejszego wypinania.</w:t>
            </w:r>
          </w:p>
          <w:p w:rsidR="00233BD0" w:rsidRPr="00EA6239" w:rsidRDefault="00233BD0" w:rsidP="00233BD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pozostałe dwa uchwyty dla aparatów dla dowódcy i kierowcy zamontowane w zabudowie pojazdu lub kabinie. W przypadku mocowania aparatów w zabudowie muszą być one na stelaży umożliwiającym samodzielne zakładanie aparatów bez zdejmowania stelaża.</w:t>
            </w:r>
          </w:p>
          <w:p w:rsidR="00233BD0" w:rsidRPr="00EA6239" w:rsidRDefault="00233BD0" w:rsidP="00233BD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odblokowanie każdego aparatu indywidualnie,</w:t>
            </w:r>
          </w:p>
          <w:p w:rsidR="00233BD0" w:rsidRPr="00EA6239" w:rsidRDefault="00233BD0" w:rsidP="00233BD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dźwignia odblokowująca o konstrukcji uniemożliwiającej przypadkowe odblokowanie np. podczas hamowania.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Kabina wyposażona w: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fabryczny układ klimatyzacji,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fabryczny radioodtwarzacz CD wraz z instalacją głośnikową,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indywidualne oświetlenie nad siedzeniem dowódcy,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półkę na ładowarki latarek i radiotelefonów przenośnych (rozmieszczenie mocowania ładowarek uzgodnione z zamawiającym), wraz z uchwytem do trzymania się podczas jazdy dla tylnego przedziału załogi,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 xml:space="preserve">- dodatkowy schowek na sprzęt w skrzyni pod fotelami załogi, siedzisko dzielone na dwie </w:t>
            </w:r>
            <w:r w:rsidR="00E17E2A" w:rsidRPr="00233BD0">
              <w:rPr>
                <w:spacing w:val="-1"/>
                <w:sz w:val="22"/>
                <w:szCs w:val="22"/>
              </w:rPr>
              <w:t>części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niezależny układ ogrzewania i wentylacji, umożliwiający ogrzewanie kabiny przy wyłączonym silniku,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lusterka boczne zewnętrzne główne elektrycznie sterowane i ogrzewane,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lastRenderedPageBreak/>
              <w:t xml:space="preserve">- lusterko </w:t>
            </w:r>
            <w:proofErr w:type="spellStart"/>
            <w:r w:rsidRPr="00233BD0">
              <w:rPr>
                <w:spacing w:val="-1"/>
                <w:sz w:val="22"/>
                <w:szCs w:val="22"/>
              </w:rPr>
              <w:t>rampowe</w:t>
            </w:r>
            <w:proofErr w:type="spellEnd"/>
            <w:r w:rsidRPr="00233BD0">
              <w:rPr>
                <w:spacing w:val="-1"/>
                <w:sz w:val="22"/>
                <w:szCs w:val="22"/>
              </w:rPr>
              <w:t xml:space="preserve"> – krawężnikowe z prawej strony,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 xml:space="preserve">- lusterko </w:t>
            </w:r>
            <w:proofErr w:type="spellStart"/>
            <w:r w:rsidRPr="00233BD0">
              <w:rPr>
                <w:spacing w:val="-1"/>
                <w:sz w:val="22"/>
                <w:szCs w:val="22"/>
              </w:rPr>
              <w:t>rampowe</w:t>
            </w:r>
            <w:proofErr w:type="spellEnd"/>
            <w:r w:rsidRPr="00233BD0">
              <w:rPr>
                <w:spacing w:val="-1"/>
                <w:sz w:val="22"/>
                <w:szCs w:val="22"/>
              </w:rPr>
              <w:t xml:space="preserve"> dojazdowe, przednie,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szyby boczne z przodu i z tyłu opuszczane i podnoszone elektrycznie,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zewnętrza osłona przeciwsłoneczna z przodu kabiny,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reflektor ręczny do oświetlenia numerów budynków,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główny włącznik/wyłącznik oświetlenia skrytek,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sygnalizacja otwarcia skrytek sprzętowych i podestów,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sygnalizacja wysunięcia masztu oświetleniowego,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sygnalizacja załączonego gniazda ładowania,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 xml:space="preserve">- fotel kierowcy z zawieszeniem pneumatycznym i </w:t>
            </w:r>
            <w:r w:rsidR="00E17E2A" w:rsidRPr="00233BD0">
              <w:rPr>
                <w:spacing w:val="-1"/>
                <w:sz w:val="22"/>
                <w:szCs w:val="22"/>
              </w:rPr>
              <w:t>regulacją wysokości</w:t>
            </w:r>
            <w:r w:rsidRPr="00233BD0">
              <w:rPr>
                <w:spacing w:val="-1"/>
                <w:sz w:val="22"/>
                <w:szCs w:val="22"/>
              </w:rPr>
              <w:t>, odległości i pochylenia oparcia,</w:t>
            </w:r>
          </w:p>
          <w:p w:rsidR="00DF6143" w:rsidRPr="00233BD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233BD0">
              <w:rPr>
                <w:spacing w:val="-1"/>
                <w:sz w:val="22"/>
                <w:szCs w:val="22"/>
              </w:rPr>
              <w:t>- siedzenia pokryte materiałem łatwym w utrzymaniu w czystości, nienasiąkliwym, odpornym na ścieranie i</w:t>
            </w:r>
            <w:r w:rsidR="00E17E2A">
              <w:rPr>
                <w:spacing w:val="-1"/>
                <w:sz w:val="22"/>
                <w:szCs w:val="22"/>
              </w:rPr>
              <w:t> </w:t>
            </w:r>
            <w:r w:rsidRPr="00233BD0">
              <w:rPr>
                <w:spacing w:val="-1"/>
                <w:sz w:val="22"/>
                <w:szCs w:val="22"/>
              </w:rPr>
              <w:t>antypoślizgowym,</w:t>
            </w:r>
          </w:p>
          <w:p w:rsidR="00F00300" w:rsidRPr="00F00300" w:rsidRDefault="00DF6143" w:rsidP="00DF6143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  <w:highlight w:val="green"/>
              </w:rPr>
            </w:pPr>
            <w:r w:rsidRPr="00233BD0">
              <w:rPr>
                <w:spacing w:val="-1"/>
                <w:sz w:val="22"/>
                <w:szCs w:val="22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 Centralny zamek.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00300" w:rsidRPr="00407747" w:rsidRDefault="00F00300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73F20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D73F20" w:rsidRPr="00407747" w:rsidRDefault="00D73F20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D73F20" w:rsidRPr="00EA6239" w:rsidRDefault="00D73F2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W kabinie powinien być zamontowany radiotelefon przewoźny spełniający minimalne wymagania techniczno-funkcjonalne określone w załączniku nr 3 do instrukcji stanowiącej załącznik do rozkazu nr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EA6239">
                <w:rPr>
                  <w:spacing w:val="-1"/>
                  <w:sz w:val="22"/>
                  <w:szCs w:val="22"/>
                </w:rPr>
                <w:t>8 KG</w:t>
              </w:r>
            </w:smartTag>
            <w:r w:rsidRPr="00EA6239">
              <w:rPr>
                <w:spacing w:val="-1"/>
                <w:sz w:val="22"/>
                <w:szCs w:val="22"/>
              </w:rPr>
              <w:t xml:space="preserve"> PSP z dnia 05.04.2019 r. w sprawie wprowadzenia nowych zasad organizacji łączności radiowej. Samochód wyposażony w instalację antenową wraz z anteną. Radiotelefon zasilany oddzielną przetwornicą napięcia.</w:t>
            </w:r>
          </w:p>
          <w:p w:rsidR="00C219BF" w:rsidRPr="00EA6239" w:rsidRDefault="00C219BF" w:rsidP="00C219BF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W przedziale autopompy dodatkowy manipulator współpracujący z radiotelefonem przewoźnym, umożliwiający prowadzenie korespondencji, zabezpieczony przed działaniem wody, wyposażony w wyłącznik.</w:t>
            </w:r>
          </w:p>
          <w:p w:rsidR="00C219BF" w:rsidRPr="00EA6239" w:rsidRDefault="00C219BF" w:rsidP="00C219BF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Anteny radiotelefonów nie mogą być umieszczone na dachu pojazdu. </w:t>
            </w:r>
            <w:r w:rsidRPr="00EA6239">
              <w:rPr>
                <w:sz w:val="22"/>
                <w:szCs w:val="22"/>
              </w:rPr>
              <w:t>Radiotelefon ma być zaprogramowany zgodnie z dostarczoną po podpisaniu umowy obsadą kanałową.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D73F20" w:rsidRPr="00407747" w:rsidRDefault="00D73F20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73F20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D73F20" w:rsidRDefault="00D73F20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D73F20" w:rsidRPr="00EA6239" w:rsidRDefault="00D73F20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Maksymalna wysokość całkowita pojazdu nie przekraczająca </w:t>
            </w:r>
            <w:smartTag w:uri="urn:schemas-microsoft-com:office:smarttags" w:element="metricconverter">
              <w:smartTagPr>
                <w:attr w:name="ProductID" w:val="3200 mm"/>
              </w:smartTagPr>
              <w:r w:rsidRPr="00EA6239">
                <w:rPr>
                  <w:spacing w:val="-1"/>
                  <w:sz w:val="22"/>
                  <w:szCs w:val="22"/>
                </w:rPr>
                <w:t>3200 mm</w:t>
              </w:r>
            </w:smartTag>
            <w:r w:rsidRPr="00EA6239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D73F20" w:rsidRPr="00407747" w:rsidRDefault="00D73F20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73F20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D73F20" w:rsidRDefault="00D73F20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D73F20" w:rsidRPr="00EA6239" w:rsidRDefault="004765CB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Instalacja elektryczna wyposażona w główny wyłącznik prądu bez wyłączenia urządzeń, które wymagają stałego zasilania.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D73F20" w:rsidRPr="00407747" w:rsidRDefault="00D73F20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765CB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4765CB" w:rsidRDefault="004765C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4765CB" w:rsidRPr="00EA6239" w:rsidRDefault="004765CB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Wylot spalin nie może być skierowany na stanowisko obsługi poszczególnych urządzeń pojazdu oraz musi zapewniać ochronę przed oparzeniami podczas normalnej pracy załogi.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4765CB" w:rsidRPr="00407747" w:rsidRDefault="004765CB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765CB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4765CB" w:rsidRDefault="004765CB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4765CB" w:rsidRPr="00EA6239" w:rsidRDefault="004765CB" w:rsidP="00C93E3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Pojazd </w:t>
            </w:r>
            <w:r w:rsidR="00C93E36" w:rsidRPr="00EA6239">
              <w:rPr>
                <w:spacing w:val="-1"/>
                <w:sz w:val="22"/>
                <w:szCs w:val="22"/>
              </w:rPr>
              <w:t>wyposażony</w:t>
            </w:r>
            <w:r w:rsidRPr="00EA6239">
              <w:rPr>
                <w:spacing w:val="-1"/>
                <w:sz w:val="22"/>
                <w:szCs w:val="22"/>
              </w:rPr>
              <w:t xml:space="preserve"> w zestaw narzędzi przewidziany przez producenta podwozia, podnośnik hydrauliczny oraz narzędzia umożliwiające wymianę koła pojazdu, dwa kliny pod koła, przewód przy najmniej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EA6239">
                <w:rPr>
                  <w:spacing w:val="-1"/>
                  <w:sz w:val="22"/>
                  <w:szCs w:val="22"/>
                </w:rPr>
                <w:t>10 m</w:t>
              </w:r>
            </w:smartTag>
            <w:r w:rsidRPr="00EA6239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lastRenderedPageBreak/>
              <w:t>z</w:t>
            </w:r>
            <w:r w:rsidR="00C93E36" w:rsidRPr="00EA6239">
              <w:rPr>
                <w:spacing w:val="-1"/>
                <w:sz w:val="22"/>
                <w:szCs w:val="22"/>
              </w:rPr>
              <w:t> </w:t>
            </w:r>
            <w:r w:rsidRPr="00EA6239">
              <w:rPr>
                <w:spacing w:val="-1"/>
                <w:sz w:val="22"/>
                <w:szCs w:val="22"/>
              </w:rPr>
              <w:t xml:space="preserve">manometrem do pompowania kół, trójkąt ostrzegawczy, apteczka samochodowa, gaśnica proszkowa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A6239">
                <w:rPr>
                  <w:spacing w:val="-1"/>
                  <w:sz w:val="22"/>
                  <w:szCs w:val="22"/>
                </w:rPr>
                <w:t>2 kg</w:t>
              </w:r>
            </w:smartTag>
            <w:r w:rsidRPr="00EA6239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4765CB" w:rsidRPr="00407747" w:rsidRDefault="004765CB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93E36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93E36" w:rsidRDefault="00C93E36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93E36" w:rsidRPr="00EA6239" w:rsidRDefault="00C93E36" w:rsidP="00C93E3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Kolor pojazdu:</w:t>
            </w:r>
          </w:p>
          <w:p w:rsidR="00C93E36" w:rsidRPr="00EA6239" w:rsidRDefault="00C93E36" w:rsidP="00C93E3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nadwozie samochodu - RAL 3000,</w:t>
            </w:r>
          </w:p>
          <w:p w:rsidR="00C93E36" w:rsidRPr="00EA6239" w:rsidRDefault="00C93E36" w:rsidP="00C93E3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błotniki, zderzaki – białe RAL 9010,</w:t>
            </w:r>
          </w:p>
          <w:p w:rsidR="00C93E36" w:rsidRPr="00EA6239" w:rsidRDefault="00C93E36" w:rsidP="00C93E3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żaluzje skrytek - naturalny kolor aluminium,</w:t>
            </w:r>
          </w:p>
          <w:p w:rsidR="00C93E36" w:rsidRPr="00EA6239" w:rsidRDefault="00C93E36" w:rsidP="00C93E3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podwozie - czarne (dopuszcza się kolor szary, w </w:t>
            </w:r>
            <w:r w:rsidR="00E17E2A" w:rsidRPr="00EA6239">
              <w:rPr>
                <w:spacing w:val="-1"/>
                <w:sz w:val="22"/>
                <w:szCs w:val="22"/>
              </w:rPr>
              <w:t>przypadku, gdy</w:t>
            </w:r>
            <w:r w:rsidRPr="00EA6239">
              <w:rPr>
                <w:spacing w:val="-1"/>
                <w:sz w:val="22"/>
                <w:szCs w:val="22"/>
              </w:rPr>
              <w:t xml:space="preserve"> jest to fabryczny kolor producenta podwozia).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93E36" w:rsidRPr="00407747" w:rsidRDefault="00C93E36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0357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D0357" w:rsidRPr="00407747" w:rsidRDefault="00CD0357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D0357" w:rsidRPr="00EA6239" w:rsidRDefault="00CD0357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Instalacja elektryczna w kabinie kierowcy wyposażona w dodatkowe gniazda umożliwiające podłączenie ładowarek do radiotelefonów przenośnych i ładowarek do latarek. Rodzaj (typ) i ilość gniazd do uzgodnienia.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D0357" w:rsidRPr="00407747" w:rsidRDefault="00CD0357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219BF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219BF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219BF" w:rsidRPr="00407747" w:rsidRDefault="00C219BF" w:rsidP="00C219BF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Podwozie samochodu z silnikiem o zapłonie samoczynnym, o mocy min. </w:t>
            </w:r>
            <w:smartTag w:uri="urn:schemas-microsoft-com:office:smarttags" w:element="metricconverter">
              <w:smartTagPr>
                <w:attr w:name="ProductID" w:val="280 KM"/>
              </w:smartTagPr>
              <w:r w:rsidRPr="00407747">
                <w:rPr>
                  <w:spacing w:val="-1"/>
                  <w:sz w:val="22"/>
                  <w:szCs w:val="22"/>
                </w:rPr>
                <w:t>280 KM</w:t>
              </w:r>
            </w:smartTag>
            <w:r w:rsidRPr="00407747">
              <w:rPr>
                <w:spacing w:val="-1"/>
                <w:sz w:val="22"/>
                <w:szCs w:val="22"/>
              </w:rPr>
              <w:t xml:space="preserve"> spełniający w dniu odbioru obowiązujące przepisy o ruchu drogowym - min. Euro 6.</w:t>
            </w:r>
          </w:p>
          <w:p w:rsidR="00C219BF" w:rsidRPr="00407747" w:rsidRDefault="00C219BF" w:rsidP="00C219BF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Silnik samochodu przystosowany do zasilania biopaliwami lub paliwami z dodatkiem biokomponentów, co winno być potwierdzone stosownym dokumentem producenta podwozia, załączonym do oferty.</w:t>
            </w:r>
          </w:p>
          <w:p w:rsidR="00C219BF" w:rsidRPr="00CD0357" w:rsidRDefault="00C219BF" w:rsidP="00C219BF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  <w:highlight w:val="green"/>
              </w:rPr>
            </w:pPr>
            <w:r w:rsidRPr="00407747">
              <w:rPr>
                <w:rStyle w:val="Domylnaczcionkaakapitu1"/>
                <w:spacing w:val="-1"/>
                <w:sz w:val="22"/>
                <w:szCs w:val="22"/>
              </w:rPr>
              <w:t>W instrukcji użytkowania samochodu muszą znaleźć się zapisy o warunkach technicznych oraz czynnościach obsługowych koniecznych przy zasilaniu silnika biopaliwami lub paliwami z</w:t>
            </w:r>
            <w:r>
              <w:rPr>
                <w:rStyle w:val="Domylnaczcionkaakapitu1"/>
                <w:spacing w:val="-1"/>
                <w:sz w:val="22"/>
                <w:szCs w:val="22"/>
              </w:rPr>
              <w:t> </w:t>
            </w:r>
            <w:r w:rsidRPr="00407747">
              <w:rPr>
                <w:rStyle w:val="Domylnaczcionkaakapitu1"/>
                <w:spacing w:val="-1"/>
                <w:sz w:val="22"/>
                <w:szCs w:val="22"/>
              </w:rPr>
              <w:t>biokomponentami. Gwarancja na pojazd nie może wyłączać stosowania w/w paliwa.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219BF" w:rsidRPr="00407747" w:rsidRDefault="00C219BF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83AF2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683AF2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683AF2" w:rsidRPr="00CD0357" w:rsidRDefault="00683AF2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  <w:highlight w:val="green"/>
              </w:rPr>
            </w:pPr>
            <w:r w:rsidRPr="00407747">
              <w:rPr>
                <w:spacing w:val="-1"/>
                <w:sz w:val="22"/>
                <w:szCs w:val="22"/>
              </w:rPr>
              <w:t>Wykonywanie codziennych czynności obsługowych silnika musi być możliwe bez podnoszenia kabiny.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683AF2" w:rsidRPr="00407747" w:rsidRDefault="00683AF2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D0EF4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BD0EF4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BD0EF4" w:rsidRPr="00407747" w:rsidRDefault="00BD0EF4" w:rsidP="00A0171C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rStyle w:val="Teksttreci2"/>
                <w:rFonts w:ascii="Times New Roman" w:hAnsi="Times New Roman" w:cs="Times New Roman"/>
              </w:rPr>
              <w:t xml:space="preserve">Pojazd wyposażony w zaczep holowniczy. Zaczep służący do holowania przyczep o </w:t>
            </w:r>
            <w:proofErr w:type="spellStart"/>
            <w:r w:rsidRPr="00407747">
              <w:rPr>
                <w:rStyle w:val="Teksttreci2"/>
                <w:rFonts w:ascii="Times New Roman" w:hAnsi="Times New Roman" w:cs="Times New Roman"/>
              </w:rPr>
              <w:t>dop</w:t>
            </w:r>
            <w:proofErr w:type="spellEnd"/>
            <w:r w:rsidRPr="00407747">
              <w:rPr>
                <w:rStyle w:val="Teksttreci2"/>
                <w:rFonts w:ascii="Times New Roman" w:hAnsi="Times New Roman" w:cs="Times New Roman"/>
              </w:rPr>
              <w:t>. masie całkowitej min. 10 t., ze złączami elektrycznymi i pneumatycznymi. Zaczep posiadający homologację lub certyfikat dopuszczenia.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BD0EF4" w:rsidRPr="00407747" w:rsidRDefault="00BD0EF4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D0EF4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BD0EF4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BD0EF4" w:rsidRPr="00407747" w:rsidRDefault="00BD0EF4" w:rsidP="00404A35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Zawieszenie mechaniczne wzmocnione, musi być dostosowane do maksymalnej masy rzeczywistej pojazdu. Stabilizatory przechyłów zamontowane na obu osiach. Prześwit pod osiami nie mniejszy niż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407747">
                <w:rPr>
                  <w:spacing w:val="-1"/>
                  <w:sz w:val="22"/>
                  <w:szCs w:val="22"/>
                </w:rPr>
                <w:t>320 mm</w:t>
              </w:r>
            </w:smartTag>
            <w:r w:rsidRPr="00407747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BD0EF4" w:rsidRPr="00407747" w:rsidRDefault="00BD0EF4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D0EF4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BD0EF4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BD0EF4" w:rsidRPr="00407747" w:rsidRDefault="00BD0EF4" w:rsidP="00404A35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Na osi przedniej ogumienie pojedyncze, na osi tylnej koła bliźniacze.</w:t>
            </w:r>
          </w:p>
          <w:p w:rsidR="00BD0EF4" w:rsidRPr="00407747" w:rsidRDefault="00BD0EF4" w:rsidP="00404A35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Wartości nominalne ciśnienia w ogumieniu trwale umieszczone nad kołami.</w:t>
            </w:r>
          </w:p>
          <w:p w:rsidR="00BD0EF4" w:rsidRPr="00407747" w:rsidRDefault="00BD0EF4" w:rsidP="00404A35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z w:val="22"/>
                <w:szCs w:val="22"/>
              </w:rPr>
              <w:t>Na wyposażeniu pełnowymiarowe koło zapasowe, bez konieczności mocowania na stałe w samochodzie.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BD0EF4" w:rsidRPr="00407747" w:rsidRDefault="00BD0EF4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D0EF4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BD0EF4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BD0EF4" w:rsidRPr="00407747" w:rsidRDefault="00BD0EF4" w:rsidP="00C219BF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Na wyposażeniu pojazdu pełnowymiarowe koło zapasowe bez konieczności stałego mocowania w</w:t>
            </w:r>
            <w:r w:rsidR="00C219BF">
              <w:rPr>
                <w:spacing w:val="-1"/>
                <w:sz w:val="22"/>
                <w:szCs w:val="22"/>
              </w:rPr>
              <w:t> </w:t>
            </w:r>
            <w:r w:rsidRPr="00407747">
              <w:rPr>
                <w:spacing w:val="-1"/>
                <w:sz w:val="22"/>
                <w:szCs w:val="22"/>
              </w:rPr>
              <w:t>pojeździe.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BD0EF4" w:rsidRPr="00407747" w:rsidRDefault="00BD0EF4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219BF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219BF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219BF" w:rsidRPr="00407747" w:rsidRDefault="00C219BF" w:rsidP="00861D2A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spacing w:val="-1"/>
                <w:sz w:val="22"/>
                <w:szCs w:val="22"/>
              </w:rPr>
            </w:pPr>
            <w:r w:rsidRPr="00407747">
              <w:rPr>
                <w:rStyle w:val="Domylnaczcionkaakapitu1"/>
                <w:spacing w:val="-1"/>
                <w:sz w:val="22"/>
                <w:szCs w:val="22"/>
              </w:rPr>
              <w:t>Skrzynia biegów mechaniczna, manualna lub zautomatyzowana z reduktorem do jazdy w terenie min. 8 biegów do jazdy w przód.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219BF" w:rsidRPr="00407747" w:rsidRDefault="00C219BF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219BF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C219BF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C219BF" w:rsidRPr="00407747" w:rsidRDefault="00C219BF" w:rsidP="00861D2A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Pojazd wyposażony w sygnał pneumatyczny włączany włącznikiem umieszczonym w kabinie  w miejscu </w:t>
            </w:r>
            <w:r w:rsidRPr="00407747">
              <w:rPr>
                <w:spacing w:val="-1"/>
                <w:sz w:val="22"/>
                <w:szCs w:val="22"/>
              </w:rPr>
              <w:lastRenderedPageBreak/>
              <w:t>łatwo dostępnym dla kierowcy oraz dowódcy.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C219BF" w:rsidRPr="00407747" w:rsidRDefault="00C219BF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317E3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Instalacja elektryczna jednoprzewodowa 24V, z biegunem ujemnym na masie. Moc alternatora (min.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07747">
                <w:rPr>
                  <w:spacing w:val="-1"/>
                  <w:sz w:val="22"/>
                  <w:szCs w:val="22"/>
                </w:rPr>
                <w:t>100 A</w:t>
              </w:r>
            </w:smartTag>
            <w:r w:rsidRPr="00407747">
              <w:rPr>
                <w:spacing w:val="-1"/>
                <w:sz w:val="22"/>
                <w:szCs w:val="22"/>
              </w:rPr>
              <w:t>) i pojemność akumulatorów(min. 180 Ah) musi zapewniać pełne zapotrzebowanie na energię elektryczną przy jej maksymalnym obciążeniu.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317E39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Samochód powinien być wyposażony w główny wyłącznik prądu, umożliwiający odłączenie akumulatorów od wszystkich systemów elektrycznych (z wyjątkiem tych, które wymagają stałego zasilania).  </w:t>
            </w:r>
            <w:r w:rsidRPr="00407747">
              <w:rPr>
                <w:rStyle w:val="Teksttreci2"/>
                <w:rFonts w:ascii="Times New Roman" w:hAnsi="Times New Roman" w:cs="Times New Roman"/>
              </w:rPr>
              <w:t>Wyłącznik główny powinien znajdować się w zasięgu kierowcy.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FD6EA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W pojeździe wbudowany układ prostowniczy zamontowany po lewej stronie do ładowania akumulatorów z</w:t>
            </w:r>
            <w:r>
              <w:rPr>
                <w:spacing w:val="-1"/>
                <w:sz w:val="22"/>
                <w:szCs w:val="22"/>
              </w:rPr>
              <w:t> </w:t>
            </w:r>
            <w:r w:rsidRPr="00407747">
              <w:rPr>
                <w:spacing w:val="-1"/>
                <w:sz w:val="22"/>
                <w:szCs w:val="22"/>
              </w:rPr>
              <w:t>sieci 230</w:t>
            </w:r>
            <w:r w:rsidR="00E17E2A" w:rsidRPr="00407747">
              <w:rPr>
                <w:spacing w:val="-1"/>
                <w:sz w:val="22"/>
                <w:szCs w:val="22"/>
              </w:rPr>
              <w:t>V odłączający</w:t>
            </w:r>
            <w:r w:rsidRPr="00407747">
              <w:rPr>
                <w:spacing w:val="-1"/>
                <w:sz w:val="22"/>
                <w:szCs w:val="22"/>
              </w:rPr>
              <w:t xml:space="preserve"> się automatycznie w momencie włączenia zapłonu, długość przewodu z wtyczką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07747">
                <w:rPr>
                  <w:spacing w:val="-1"/>
                  <w:sz w:val="22"/>
                  <w:szCs w:val="22"/>
                </w:rPr>
                <w:t>4 m</w:t>
              </w:r>
            </w:smartTag>
            <w:r w:rsidRPr="00407747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317E3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Samochód musi być wyposażony w gniazdo do zasilania układu pneumatycznego pojazdu z zewnętrznego źródła.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FD6EA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E17E2A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rStyle w:val="Domylnaczcionkaakapitu1"/>
                <w:spacing w:val="-1"/>
                <w:sz w:val="22"/>
                <w:szCs w:val="22"/>
              </w:rPr>
              <w:t xml:space="preserve"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407747">
                <w:rPr>
                  <w:rStyle w:val="Domylnaczcionkaakapitu1"/>
                  <w:spacing w:val="-1"/>
                  <w:sz w:val="22"/>
                  <w:szCs w:val="22"/>
                </w:rPr>
                <w:t>300 km</w:t>
              </w:r>
            </w:smartTag>
            <w:r w:rsidRPr="00407747">
              <w:rPr>
                <w:rStyle w:val="Domylnaczcionkaakapitu1"/>
                <w:spacing w:val="-1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spacing w:val="-1"/>
                <w:sz w:val="22"/>
                <w:szCs w:val="22"/>
              </w:rPr>
              <w:t>lub 4</w:t>
            </w:r>
            <w:r w:rsidR="00E17E2A">
              <w:rPr>
                <w:rStyle w:val="Domylnaczcionkaakapitu1"/>
                <w:spacing w:val="-1"/>
                <w:sz w:val="22"/>
                <w:szCs w:val="22"/>
              </w:rPr>
              <w:t> </w:t>
            </w:r>
            <w:r>
              <w:rPr>
                <w:rStyle w:val="Domylnaczcionkaakapitu1"/>
                <w:spacing w:val="-1"/>
                <w:sz w:val="22"/>
                <w:szCs w:val="22"/>
              </w:rPr>
              <w:t>godzinną pracę autopompy</w:t>
            </w:r>
            <w:r w:rsidRPr="00407747">
              <w:rPr>
                <w:rStyle w:val="Teksttreci2"/>
                <w:rFonts w:ascii="Times New Roman" w:hAnsi="Times New Roman" w:cs="Times New Roman"/>
              </w:rPr>
              <w:t xml:space="preserve">, przy czym jego pojemność nie może być mniejsza niż </w:t>
            </w:r>
            <w:smartTag w:uri="urn:schemas-microsoft-com:office:smarttags" w:element="metricconverter">
              <w:smartTagPr>
                <w:attr w:name="ProductID" w:val="150 litrów"/>
              </w:smartTagPr>
              <w:r w:rsidRPr="00407747">
                <w:rPr>
                  <w:rStyle w:val="Teksttreci2"/>
                  <w:rFonts w:ascii="Times New Roman" w:hAnsi="Times New Roman" w:cs="Times New Roman"/>
                </w:rPr>
                <w:t>150 litrów</w:t>
              </w:r>
            </w:smartTag>
            <w:r w:rsidRPr="00407747">
              <w:rPr>
                <w:rStyle w:val="Teksttreci2"/>
                <w:rFonts w:ascii="Times New Roman" w:hAnsi="Times New Roman" w:cs="Times New Roman"/>
              </w:rPr>
              <w:t>.</w:t>
            </w:r>
            <w:r w:rsidR="00B86F16">
              <w:rPr>
                <w:rStyle w:val="Teksttreci2"/>
                <w:rFonts w:ascii="Times New Roman" w:hAnsi="Times New Roman" w:cs="Times New Roman"/>
              </w:rPr>
              <w:t xml:space="preserve"> Zbiornik paliwa </w:t>
            </w:r>
            <w:r w:rsidR="001C1A30">
              <w:rPr>
                <w:rStyle w:val="Teksttreci2"/>
                <w:rFonts w:ascii="Times New Roman" w:hAnsi="Times New Roman" w:cs="Times New Roman"/>
              </w:rPr>
              <w:t xml:space="preserve">i </w:t>
            </w:r>
            <w:proofErr w:type="spellStart"/>
            <w:r w:rsidR="001C6E6F">
              <w:rPr>
                <w:rStyle w:val="Teksttreci2"/>
                <w:rFonts w:ascii="Times New Roman" w:hAnsi="Times New Roman" w:cs="Times New Roman"/>
              </w:rPr>
              <w:t>Adblue</w:t>
            </w:r>
            <w:proofErr w:type="spellEnd"/>
            <w:r w:rsidR="00B32C5B">
              <w:rPr>
                <w:rStyle w:val="Teksttreci2"/>
                <w:rFonts w:ascii="Times New Roman" w:hAnsi="Times New Roman" w:cs="Times New Roman"/>
              </w:rPr>
              <w:t xml:space="preserve"> nie może znajdować się </w:t>
            </w:r>
            <w:r w:rsidR="00571384">
              <w:rPr>
                <w:rStyle w:val="Teksttreci2"/>
                <w:rFonts w:ascii="Times New Roman" w:hAnsi="Times New Roman" w:cs="Times New Roman"/>
              </w:rPr>
              <w:t>w skry</w:t>
            </w:r>
            <w:r w:rsidR="007F058B">
              <w:rPr>
                <w:rStyle w:val="Teksttreci2"/>
                <w:rFonts w:ascii="Times New Roman" w:hAnsi="Times New Roman" w:cs="Times New Roman"/>
              </w:rPr>
              <w:t>tkac</w:t>
            </w:r>
            <w:r w:rsidR="00571384">
              <w:rPr>
                <w:rStyle w:val="Teksttreci2"/>
                <w:rFonts w:ascii="Times New Roman" w:hAnsi="Times New Roman" w:cs="Times New Roman"/>
              </w:rPr>
              <w:t>h sprzętowych tym samym ograniczając przestrzeń sprzętową.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CD0357" w:rsidRDefault="00FD6EA9">
            <w:pPr>
              <w:shd w:val="clear" w:color="auto" w:fill="FFFFFF"/>
              <w:spacing w:before="20" w:line="250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CD0357">
              <w:rPr>
                <w:b/>
                <w:spacing w:val="-1"/>
                <w:sz w:val="22"/>
                <w:szCs w:val="22"/>
              </w:rPr>
              <w:t>Zabudowa pożarnicza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CD035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334D7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Zabudowa wykonana z materiałów odpornych na korozję typu: stal nierdzewna, aluminium, materiały kompozytowe. Wyklucza się inne bez względu na rodzaj zabezpieczenia. Rodzaj zabudowy potwierdzony w świadectwie dopuszczenia.</w:t>
            </w:r>
          </w:p>
          <w:p w:rsidR="00FD6EA9" w:rsidRPr="00EA6239" w:rsidRDefault="00FD6EA9" w:rsidP="00D334D7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W przypadku zastosowania zabudowy kompozytowej, krawędzie podestów oraz krawędzie zabudowy, przy których istnieje ryzyko uszkodzenia podczas zdejmowania lub wkładania wyposażenia powinny być zabezpieczone.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>Wewnętrzne poszycia skrytek wyłożone anodowaną blachą aluminiową, natomiast podłoga skrytek wykończona gładką blachą kwasoodporną bez progu, ze spadkiem umożliwiającym odprowadzenie wody na zewnątrz. Aluminiowy system mocowania półek w skrytkach sprzętowych musi umożliwiać płynną regulację wysokości.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41FA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Z tyłu pojazdu aluminiowa drabina do wejścia na dach, umieszczona z tyłu pojazdu,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 xml:space="preserve">rozkładana i nachylona pod kątem w stosunku do ściany tylnej zabudowy, co ma ułatwić bezpieczne wchodzenie na dach pojazdu. </w:t>
            </w:r>
            <w:r w:rsidRPr="00EA6239">
              <w:rPr>
                <w:spacing w:val="-1"/>
                <w:sz w:val="22"/>
                <w:szCs w:val="22"/>
              </w:rPr>
              <w:lastRenderedPageBreak/>
              <w:t>W pobliżu górnej części drabiny zamontowane uchwyt/y (poręcze) ułatwiające wchodzenie Szczeble w wykonaniu antypoślizgowym. Na dachu umieszczone uchwyty do zamocowania drabiny.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41FA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Skrytki na sprzęt w układzie żaluzji 3+3+1, zamykane żaluzjami wodo i pyłoszczelnymi wspomaganymi systemem sprężynowym i zabezpieczającym przed samoczynnym zamykaniem, wykonane z materiałów odpornych na korozję, wyposażone w zamknięcie typu rurkowego lub równoważne, zamki zamykane na klucz, jeden klucz powinien pasować do wszystkich zamków. Dostęp do sprzętu z </w:t>
            </w:r>
            <w:r w:rsidR="00E17E2A" w:rsidRPr="00EA6239">
              <w:rPr>
                <w:spacing w:val="-1"/>
                <w:sz w:val="22"/>
                <w:szCs w:val="22"/>
              </w:rPr>
              <w:t>zachowaniem wymagań</w:t>
            </w:r>
            <w:r w:rsidRPr="00EA6239">
              <w:rPr>
                <w:spacing w:val="-1"/>
                <w:sz w:val="22"/>
                <w:szCs w:val="22"/>
              </w:rPr>
              <w:t xml:space="preserve"> ergonomii. Wszystkie żaluzje powinny posiadać taśmy ułatwiające zamykanie ( wszystkie taśmy powinny być zainstalowane po prawej stronie).</w:t>
            </w:r>
          </w:p>
          <w:p w:rsidR="00FD6EA9" w:rsidRPr="00EA6239" w:rsidRDefault="00FD6EA9" w:rsidP="00E41FA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Konstrukcja skrytek musi zapewniać odprowadzenie wody z ich wnętrza.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41FA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004BC7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Skrytki na sprzęt i przedział autopompy muszą być </w:t>
            </w:r>
            <w:r w:rsidR="00E17E2A" w:rsidRPr="00EA6239">
              <w:rPr>
                <w:spacing w:val="-1"/>
                <w:sz w:val="22"/>
                <w:szCs w:val="22"/>
              </w:rPr>
              <w:t>wyposażone w</w:t>
            </w:r>
            <w:r w:rsidRPr="00EA6239">
              <w:rPr>
                <w:spacing w:val="-1"/>
                <w:sz w:val="22"/>
                <w:szCs w:val="22"/>
              </w:rPr>
              <w:t xml:space="preserve"> oświetlenie włączane automatycznie po otwarciu skrytki. Oświetlenie skrytek w technologii LED.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41FA1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Główny wyłącznik oświetlenia skrytek powinien być zainstalowany w kabinie kierowcy.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90B76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Maksymalna wysokość górnej krawędzi najwyższej półki (po wysunięciu lub rozłożeniu) lub szuflady w położeniu roboczym nie wyżej niż </w:t>
            </w:r>
            <w:smartTag w:uri="urn:schemas-microsoft-com:office:smarttags" w:element="metricconverter">
              <w:smartTagPr>
                <w:attr w:name="ProductID" w:val="1850 mm"/>
              </w:smartTagPr>
              <w:r w:rsidRPr="00EA6239">
                <w:rPr>
                  <w:spacing w:val="-1"/>
                  <w:sz w:val="22"/>
                  <w:szCs w:val="22"/>
                </w:rPr>
                <w:t>1850 mm</w:t>
              </w:r>
            </w:smartTag>
            <w:r w:rsidRPr="00EA6239">
              <w:rPr>
                <w:spacing w:val="-1"/>
                <w:sz w:val="22"/>
                <w:szCs w:val="22"/>
              </w:rPr>
              <w:t xml:space="preserve"> od poziomu gruntu, lub odchylanych podestów roboczych. Otwarcie lub wysunięcie podestów musi być sygnalizowane w kabinie kierowcy.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>Sprzęt rozmieszczony grupowo w zależności od przeznaczenia z zachowaniem ergonomii.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52788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90B76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Autopompa pożarnicza dwuzakresowa o wydajności min. 2400 dm3/min przy ciśnieniu 0,8 </w:t>
            </w:r>
            <w:proofErr w:type="spellStart"/>
            <w:r w:rsidRPr="00EA6239">
              <w:rPr>
                <w:spacing w:val="-1"/>
                <w:sz w:val="22"/>
                <w:szCs w:val="22"/>
              </w:rPr>
              <w:t>MPa</w:t>
            </w:r>
            <w:proofErr w:type="spellEnd"/>
            <w:r w:rsidRPr="00EA6239">
              <w:rPr>
                <w:spacing w:val="-1"/>
                <w:sz w:val="22"/>
                <w:szCs w:val="22"/>
              </w:rPr>
              <w:t xml:space="preserve"> i 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EA6239">
                <w:rPr>
                  <w:spacing w:val="-1"/>
                  <w:sz w:val="22"/>
                  <w:szCs w:val="22"/>
                </w:rPr>
                <w:t>1,5 m</w:t>
              </w:r>
            </w:smartTag>
            <w:r w:rsidRPr="00EA6239">
              <w:rPr>
                <w:spacing w:val="-1"/>
                <w:sz w:val="22"/>
                <w:szCs w:val="22"/>
              </w:rPr>
              <w:t xml:space="preserve"> oraz dla stopnia wysokiego ciśnienia co najmniej 400 dm3/min przy ciśnieniu 4 </w:t>
            </w:r>
            <w:proofErr w:type="spellStart"/>
            <w:r w:rsidRPr="00EA6239">
              <w:rPr>
                <w:spacing w:val="-1"/>
                <w:sz w:val="22"/>
                <w:szCs w:val="22"/>
              </w:rPr>
              <w:t>MPa</w:t>
            </w:r>
            <w:proofErr w:type="spellEnd"/>
            <w:r w:rsidRPr="00EA6239">
              <w:rPr>
                <w:spacing w:val="-1"/>
                <w:sz w:val="22"/>
                <w:szCs w:val="22"/>
              </w:rPr>
              <w:t>.</w:t>
            </w:r>
          </w:p>
          <w:p w:rsidR="00FD6EA9" w:rsidRPr="00EA6239" w:rsidRDefault="00FD6EA9" w:rsidP="00332B8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Układ posiada możliwość jednoczesnego podania wody lub piany do minimum:</w:t>
            </w:r>
          </w:p>
          <w:p w:rsidR="00FD6EA9" w:rsidRPr="00EA6239" w:rsidRDefault="00FD6EA9" w:rsidP="00332B8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dwóch nasad tłocznych 75 (po jednej na każdą stronę),</w:t>
            </w:r>
          </w:p>
          <w:p w:rsidR="00FD6EA9" w:rsidRPr="00EA6239" w:rsidRDefault="00FD6EA9" w:rsidP="00332B8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wysokociśnieniowej linii szybkiego natarcia,</w:t>
            </w:r>
          </w:p>
          <w:p w:rsidR="00FD6EA9" w:rsidRPr="00EA6239" w:rsidRDefault="00FD6EA9" w:rsidP="00332B8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działka wodno-pianowego,</w:t>
            </w:r>
          </w:p>
          <w:p w:rsidR="00FD6EA9" w:rsidRPr="00EA6239" w:rsidRDefault="00FD6EA9" w:rsidP="00332B8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instalacji </w:t>
            </w:r>
            <w:proofErr w:type="spellStart"/>
            <w:r w:rsidRPr="00EA6239">
              <w:rPr>
                <w:spacing w:val="-1"/>
                <w:sz w:val="22"/>
                <w:szCs w:val="22"/>
              </w:rPr>
              <w:t>zraszaczowej</w:t>
            </w:r>
            <w:proofErr w:type="spellEnd"/>
            <w:r w:rsidRPr="00EA6239">
              <w:rPr>
                <w:spacing w:val="-1"/>
                <w:sz w:val="22"/>
                <w:szCs w:val="22"/>
              </w:rPr>
              <w:t>.</w:t>
            </w:r>
          </w:p>
          <w:p w:rsidR="00FD6EA9" w:rsidRPr="00EA6239" w:rsidRDefault="00FD6EA9" w:rsidP="00332B8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Autopompa zlokalizowana z tyłu pojazdu w obudowanym przedziale, zamykanym drzwiami żaluzjowymi.</w:t>
            </w:r>
          </w:p>
          <w:p w:rsidR="00FD6EA9" w:rsidRPr="00EA6239" w:rsidRDefault="00FD6EA9" w:rsidP="00CA352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Autopompa musi być wyposażona w urządzenie odpowietrzające umożliwiające zassanie wody:</w:t>
            </w:r>
          </w:p>
          <w:p w:rsidR="00FD6EA9" w:rsidRPr="00EA6239" w:rsidRDefault="00FD6EA9" w:rsidP="00CA352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EA6239">
                <w:rPr>
                  <w:spacing w:val="-1"/>
                  <w:sz w:val="22"/>
                  <w:szCs w:val="22"/>
                </w:rPr>
                <w:t>1,5 m</w:t>
              </w:r>
            </w:smartTag>
            <w:r w:rsidRPr="00EA6239">
              <w:rPr>
                <w:spacing w:val="-1"/>
                <w:sz w:val="22"/>
                <w:szCs w:val="22"/>
              </w:rPr>
              <w:t xml:space="preserve"> w czasie do 30 s.</w:t>
            </w:r>
          </w:p>
          <w:p w:rsidR="00FD6EA9" w:rsidRPr="00EA6239" w:rsidRDefault="00FD6EA9" w:rsidP="00CA352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EA6239">
                <w:rPr>
                  <w:spacing w:val="-1"/>
                  <w:sz w:val="22"/>
                  <w:szCs w:val="22"/>
                </w:rPr>
                <w:t>7,5 m</w:t>
              </w:r>
            </w:smartTag>
            <w:r w:rsidRPr="00EA6239">
              <w:rPr>
                <w:spacing w:val="-1"/>
                <w:sz w:val="22"/>
                <w:szCs w:val="22"/>
              </w:rPr>
              <w:t xml:space="preserve"> w czasie do 60 s.</w:t>
            </w:r>
          </w:p>
          <w:p w:rsidR="00FD6EA9" w:rsidRPr="00EA6239" w:rsidRDefault="00FD6EA9" w:rsidP="00CA352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lastRenderedPageBreak/>
              <w:t>Autopompa musi umożliwiać podanie wody do zbiornika samochodu.</w:t>
            </w:r>
          </w:p>
          <w:p w:rsidR="00FD6EA9" w:rsidRPr="00EA6239" w:rsidRDefault="00FD6EA9" w:rsidP="00CA352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Na pulpicie sterowniczym pompy zainstalowanym w przedziale autopompy muszą znajdować się co najmniej następujące urządzenia kontrolno- sterownicze: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urządzenia kontrolno- pomiarowe pompy, w tym min. manometr, manowakuometr,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wyłącznik awaryjny silnika pojazdu,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włącznik autopompy,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wskaźnik poziomu wody w zbiorniku samochodu,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wskaźnik poziomu środka pianotwórczego w zbiorniku,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wskaźnik lub kontrolka temperatury cieczy chłodzącej silnik lub wskaźnik awarii silnika,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regulator prędkości obrotowej silnika napędzającego pompę.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Ponadto na stanowisku obsługi musi znajdować się schemat układu wodno- pianowego oraz oznaczenie zaworów.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rStyle w:val="Domylnaczcionkaakapitu1"/>
                <w:spacing w:val="-1"/>
                <w:sz w:val="22"/>
                <w:szCs w:val="22"/>
              </w:rPr>
              <w:t xml:space="preserve">Wszystkie urządzenia kontrolno-sterownicze powinny być widoczne i dostępne z miejsca i obsługi pompy. Wszystkie urządzenia sterowania i kontroli powinny </w:t>
            </w:r>
            <w:r w:rsidR="00E17E2A" w:rsidRPr="00EA6239">
              <w:rPr>
                <w:rStyle w:val="Domylnaczcionkaakapitu1"/>
                <w:spacing w:val="-1"/>
                <w:sz w:val="22"/>
                <w:szCs w:val="22"/>
              </w:rPr>
              <w:t>być oznaczone znormalizowanymi</w:t>
            </w:r>
            <w:r w:rsidRPr="00EA6239">
              <w:rPr>
                <w:rStyle w:val="Domylnaczcionkaakapitu1"/>
                <w:spacing w:val="-1"/>
                <w:sz w:val="22"/>
                <w:szCs w:val="22"/>
              </w:rPr>
              <w:t xml:space="preserve">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W kabinie kierowcy powinny znajdować się następujące urządzenia kontrolno-pomiarowe: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wskaźnik niskiego ciśnienia,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wskaźnik wysokiego ciśnienia,</w:t>
            </w:r>
          </w:p>
          <w:p w:rsidR="00FD6EA9" w:rsidRPr="00EA623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wskaźnik poziomu wody w zbiorniku,</w:t>
            </w:r>
          </w:p>
          <w:p w:rsidR="00FD6EA9" w:rsidRDefault="00FD6EA9" w:rsidP="00683AF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- wskaźnik poziomu środka pianotwórczego.</w:t>
            </w:r>
          </w:p>
          <w:p w:rsidR="00814E9C" w:rsidRPr="00EA6239" w:rsidRDefault="00814E9C" w:rsidP="00683AF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D90B76" w:rsidRDefault="00FD6EA9" w:rsidP="00D90B76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  <w:highlight w:val="green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Układ wodno- pianowy zabudowany w taki </w:t>
            </w:r>
            <w:r w:rsidR="00E17E2A" w:rsidRPr="00407747">
              <w:rPr>
                <w:spacing w:val="-1"/>
                <w:sz w:val="22"/>
                <w:szCs w:val="22"/>
              </w:rPr>
              <w:t>sposób, aby</w:t>
            </w:r>
            <w:r w:rsidRPr="00407747">
              <w:rPr>
                <w:spacing w:val="-1"/>
                <w:sz w:val="22"/>
                <w:szCs w:val="22"/>
              </w:rPr>
              <w:t xml:space="preserve"> parametry autopompy przy zasilaniu ze zbiornika samochodu były nie mniejsze niż przy zasilaniu ze zbiornika zewnętrznego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407747">
                <w:rPr>
                  <w:spacing w:val="-1"/>
                  <w:sz w:val="22"/>
                  <w:szCs w:val="22"/>
                </w:rPr>
                <w:t>1,5 m</w:t>
              </w:r>
            </w:smartTag>
            <w:r w:rsidRPr="00407747">
              <w:rPr>
                <w:spacing w:val="-1"/>
                <w:sz w:val="22"/>
                <w:szCs w:val="22"/>
              </w:rPr>
              <w:t>. Wszystkie nasady układu wodno-pianowego powinny być wyposażone w pokrywy nasad zabezpieczone przed zgubieniem, np. poprzez mocowanie łańcuszkiem.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90B76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Przystawka odbioru mocy przystosowana do długiej pracy, z sygnalizacja włączenia w kabinie.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Układ wodno-pianowy wyposażony w automatyczny dozownik środka pianotwórczego,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>dostosowany do wydajności autopompy zapewniający uzyskiwanie stężeń min. 3% i 6% (tolerancja ± 0,5%)w pełnym zakresie wydajności pompy.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Wszystkie elementy układu wodno- pianowego muszą być odporne na korozję i działanie dopuszczonych do stosowania środków pianotwórczych i modyfikatorów. Nasady tłoczne i ssawne powinny być zabezpieczone przed zamarzaniem (wszystkie umieszczone wewnątrz skrytek sprzętowych).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Konstrukcja układu wodno- pianowego powinna umożliwiać jego całkowite odwodnienie przy użyciu możliwie najmniejszej ilości zaworów.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Przedział autopompy musi być wyposażony w autonomiczny system ogrzewania działający niezależnie od pracy silnika, skutecznie zabezpieczający układ wodno-pianowy </w:t>
            </w:r>
            <w:r w:rsidR="00E17E2A" w:rsidRPr="00EA6239">
              <w:rPr>
                <w:spacing w:val="-1"/>
                <w:sz w:val="22"/>
                <w:szCs w:val="22"/>
              </w:rPr>
              <w:t>przed zamarzaniem w</w:t>
            </w:r>
            <w:r w:rsidRPr="00EA6239">
              <w:rPr>
                <w:spacing w:val="-1"/>
                <w:sz w:val="22"/>
                <w:szCs w:val="22"/>
              </w:rPr>
              <w:t xml:space="preserve"> temperaturze do „- 25ºC”. Dodatkowo autopompa wyposażona w wewnętrzne kanały grzewcze, umożliwiające ogrzewanie płaszczem wodnym z układu chłodzenia silnika pojazdu, z możliwością </w:t>
            </w:r>
            <w:r w:rsidR="00E17E2A" w:rsidRPr="00EA6239">
              <w:rPr>
                <w:spacing w:val="-1"/>
                <w:sz w:val="22"/>
                <w:szCs w:val="22"/>
              </w:rPr>
              <w:t>wyłączenia w</w:t>
            </w:r>
            <w:r w:rsidRPr="00EA6239">
              <w:rPr>
                <w:spacing w:val="-1"/>
                <w:sz w:val="22"/>
                <w:szCs w:val="22"/>
              </w:rPr>
              <w:t xml:space="preserve"> okresie letnim (zabezpieczenie przez rozmrożeniem) oraz zapewniającym dogrzanie autopompy do właściwej temperatury pracy jeszcze w trakcie dojazdu do miejsca prowadzenia akcji gaśniczej, przed jej rozpoczęciem (wydłużenie żywotności autopompy).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W przypadku umieszczenia w przedziale autopompy wyłącznika do uruchomienia silnika pojazdu (uruchomienie silnika powinno być możliwe tylko dla neutralnego położenia dźwigni zmiany biegów).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E318DD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Zbiornik wody o pojemności nominalnej min. </w:t>
            </w:r>
            <w:smartTag w:uri="urn:schemas-microsoft-com:office:smarttags" w:element="metricconverter">
              <w:smartTagPr>
                <w:attr w:name="ProductID" w:val="3 m3"/>
              </w:smartTagPr>
              <w:r w:rsidRPr="00EA6239">
                <w:rPr>
                  <w:spacing w:val="-1"/>
                  <w:sz w:val="22"/>
                  <w:szCs w:val="22"/>
                </w:rPr>
                <w:t>3 m3</w:t>
              </w:r>
            </w:smartTag>
            <w:r w:rsidRPr="00EA6239">
              <w:rPr>
                <w:spacing w:val="-1"/>
                <w:sz w:val="22"/>
                <w:szCs w:val="22"/>
              </w:rPr>
              <w:t xml:space="preserve"> (dopuszcza się tolerancję wykonania zbiornika w stosunku do pojemości nominalnej±5%)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>wykonany z materiałów kompozytowych.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rFonts w:eastAsia="Calibri"/>
                <w:color w:val="auto"/>
                <w:sz w:val="22"/>
                <w:szCs w:val="22"/>
                <w:lang w:eastAsia="en-US"/>
              </w:rPr>
              <w:t>Układ napełniania zbiornika z automatycznym zaworem odcinającym z możliwością ręcznego przestawienia zaworu odcinającego w celu dopełnienia zbiornika.</w:t>
            </w:r>
            <w:r w:rsidR="00814E9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>Zbiornik musi być wyposażony w oprzyrządowanie umożliwiające jego bezpieczną eksploatację, z układem zabezpieczającym przed wypływem wody w czasie jazdy. Zbiornik powinien być wyposażony w falochrony i posiadać właz rewizyjny.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C23236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Zbiornik środka pianotwórczego o pojemności min. 10% pojemności zbiornika wody, odpornych na działanie środków pianotwórczych i modyfikatorów.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F20C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Pojazd wyposażony w instalację napełniania zbiornika wodą z hydrantu, wyposażony w co najmniej jedną nasadę W75 z odcinającym zaworem kulowym. Nasada(y) winny posiadać zabezpieczenia chroniące przed dostaniem się zanieczyszczeń stałych.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CA3522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EA6239">
                <w:rPr>
                  <w:rFonts w:eastAsia="Calibri"/>
                  <w:color w:val="auto"/>
                  <w:sz w:val="22"/>
                  <w:szCs w:val="22"/>
                  <w:lang w:eastAsia="en-US"/>
                </w:rPr>
                <w:t>60 m</w:t>
              </w:r>
            </w:smartTag>
            <w:r w:rsidRPr="00EA62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na zwijadle, zakończoną prądownicą. Prądownica powinna posiadać płynną regulację kąta </w:t>
            </w:r>
            <w:r w:rsidRPr="00EA6239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rozproszenia strumienia wodnego, zawór zamknięcia – otwarcia przepływu wody (dodatkowa nakładka na prądownicę do podawania piany). Linia szybkiego natarcia musi umożliwiać podawanie wody lub piany bez względu na stopień rozwinięcia węża. Zwijadło wyposażone w regulowany hamulec bębna. Linia szybkiego natarcia wyposażona w zwijadło elektryczne, z dodatkowym napędem ręcznym.</w:t>
            </w:r>
            <w:r w:rsidR="00814E9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A6239">
              <w:rPr>
                <w:rFonts w:eastAsia="Calibri"/>
                <w:color w:val="auto"/>
                <w:sz w:val="22"/>
                <w:szCs w:val="22"/>
                <w:lang w:eastAsia="en-US"/>
              </w:rPr>
              <w:t>Narożnik kończący linie zabudowy po stronie szybkiego natarcia zabezpieczony przed wycieraniem kątownikiem ze stali nierdzewnej. Zwijadło umieszczone w ostatniej skrytce z prawej strony. Przedmuch linii sprężonym powietrzem.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1B2D09">
            <w:pPr>
              <w:shd w:val="clear" w:color="auto" w:fill="FFFFFF"/>
              <w:spacing w:before="20" w:line="254" w:lineRule="exact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Działko wodno- pianowe klasy min. DWP 24 o regulowanej wydajności. Działko wysuwane do </w:t>
            </w:r>
            <w:r w:rsidR="00E17E2A" w:rsidRPr="00EA6239">
              <w:rPr>
                <w:spacing w:val="-1"/>
                <w:sz w:val="22"/>
                <w:szCs w:val="22"/>
              </w:rPr>
              <w:t>pozycji roboczej</w:t>
            </w:r>
            <w:r w:rsidRPr="00EA6239">
              <w:rPr>
                <w:spacing w:val="-1"/>
                <w:sz w:val="22"/>
                <w:szCs w:val="22"/>
              </w:rPr>
              <w:t>, tak aby w pozycji transportowej nie zwiększało maksymalnej wysokości pojazdu. Zakres obrotu działka w płaszczyźnie poziomej wynoszący 360°, a w płaszczyźnie pionowej – od kąta ujemnego limitowanego obrysem pojazdu do co najmniej 75°. Na rękojeści działka musi istnieć możliwość włączania zaworu działka oraz regulacji obrotów pompy.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rFonts w:eastAsia="Calibri"/>
                <w:color w:val="auto"/>
                <w:sz w:val="22"/>
                <w:szCs w:val="22"/>
                <w:lang w:eastAsia="en-US"/>
              </w:rPr>
              <w:t>Stanowisko obsługi działka oraz dojście do stanowisko musi posiadać oświetlenie nieoślepiające, bez wystających elementów, załączane ze stanowiska obsługi pompy.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5E340A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Pojazd wyposażony </w:t>
            </w:r>
            <w:r w:rsidR="005E340A">
              <w:rPr>
                <w:spacing w:val="-1"/>
                <w:sz w:val="22"/>
                <w:szCs w:val="22"/>
              </w:rPr>
              <w:t xml:space="preserve">w </w:t>
            </w:r>
            <w:r w:rsidRPr="00EA6239">
              <w:rPr>
                <w:spacing w:val="-1"/>
                <w:sz w:val="22"/>
                <w:szCs w:val="22"/>
              </w:rPr>
              <w:t xml:space="preserve">sterowany za pomocą pilota </w:t>
            </w:r>
            <w:r w:rsidR="00E17E2A" w:rsidRPr="00EA6239">
              <w:rPr>
                <w:spacing w:val="-1"/>
                <w:sz w:val="22"/>
                <w:szCs w:val="22"/>
              </w:rPr>
              <w:t>przewodowego,</w:t>
            </w:r>
            <w:r w:rsidR="00814E9C">
              <w:rPr>
                <w:spacing w:val="-1"/>
                <w:sz w:val="22"/>
                <w:szCs w:val="22"/>
              </w:rPr>
              <w:t xml:space="preserve"> </w:t>
            </w:r>
            <w:r w:rsidR="00E17E2A" w:rsidRPr="00EA6239">
              <w:rPr>
                <w:spacing w:val="-1"/>
                <w:sz w:val="22"/>
                <w:szCs w:val="22"/>
              </w:rPr>
              <w:t>wysuwany</w:t>
            </w:r>
            <w:r w:rsidRPr="00EA6239">
              <w:rPr>
                <w:spacing w:val="-1"/>
                <w:sz w:val="22"/>
                <w:szCs w:val="22"/>
              </w:rPr>
              <w:t xml:space="preserve"> pneumatycznie, obrotowy maszt oświetleniowy,</w:t>
            </w:r>
            <w:r w:rsidR="005E340A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 xml:space="preserve">zabudowany na stałe w pojeździe z reflektorami LED o </w:t>
            </w:r>
            <w:r w:rsidRPr="00EA6239">
              <w:rPr>
                <w:spacing w:val="-1"/>
                <w:sz w:val="22"/>
                <w:szCs w:val="22"/>
                <w:lang w:bidi="pl-PL"/>
              </w:rPr>
              <w:t>łącznej wielkości strumienia świetlnego min. 30 000 lm</w:t>
            </w:r>
            <w:r w:rsidRPr="00EA6239">
              <w:rPr>
                <w:spacing w:val="-1"/>
                <w:sz w:val="22"/>
                <w:szCs w:val="22"/>
              </w:rPr>
              <w:t xml:space="preserve">. </w:t>
            </w:r>
            <w:proofErr w:type="spellStart"/>
            <w:r w:rsidRPr="00EA6239">
              <w:rPr>
                <w:spacing w:val="-1"/>
                <w:sz w:val="22"/>
                <w:szCs w:val="22"/>
              </w:rPr>
              <w:t>Najaśnice</w:t>
            </w:r>
            <w:proofErr w:type="spellEnd"/>
            <w:r w:rsidRPr="00EA6239">
              <w:rPr>
                <w:spacing w:val="-1"/>
                <w:sz w:val="22"/>
                <w:szCs w:val="22"/>
              </w:rPr>
              <w:t xml:space="preserve"> zasilane z instalacji elektrycznej samochodu. Wysokość nie mniejsza niż 4,5m masztu po rozłożeniu od podłoża, na którym stoi pojazd, do opraw czołowych reflektorów ustawionych poziomo, z możliwością sterowania w poziomie i w pionie. Stopień ochrony masztu i reflektorów min. IP 55. Działanie masztu powinno odbywać się bez nagłych skoków podczas ruchu do góry i do dołu. Złożenie masztu powinno nastąpić bez konieczności ręcznego wspomagania. Przewody elektryczne zasilające reflektory nie powinny kolidować z ruchami teleskopów.</w:t>
            </w:r>
            <w:r w:rsidR="005E340A">
              <w:rPr>
                <w:spacing w:val="-1"/>
                <w:sz w:val="22"/>
                <w:szCs w:val="22"/>
              </w:rPr>
              <w:t xml:space="preserve"> </w:t>
            </w:r>
            <w:r w:rsidRPr="00EA6239">
              <w:rPr>
                <w:spacing w:val="-1"/>
                <w:sz w:val="22"/>
                <w:szCs w:val="22"/>
              </w:rPr>
              <w:t>Sygnalizacja podniesienia masztu w kabinie kierowcy na panelu kontrolnym. Umiejscowienie masztu nie powinno kolidować z działkiem wodno-pianowym oraz drabiną.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1522B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Pojazd powinien posiadać oświetlenie pola pracy wokół samochodu (3 szt. na stronę oraz pomiędzy drzwiami przednimi a tylnymi kabiny) zapewniające oświetlenie w warunkach słabej widoczności oraz oświetlenie powierzchni dachu roboczego i skrzyni dachowej. 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1522B9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1522B9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Szuflady, podesty i tace oraz inne elementy pojazdu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407747">
                <w:rPr>
                  <w:spacing w:val="-1"/>
                  <w:sz w:val="22"/>
                  <w:szCs w:val="22"/>
                </w:rPr>
                <w:t>250 mm</w:t>
              </w:r>
            </w:smartTag>
            <w:r w:rsidRPr="00407747">
              <w:rPr>
                <w:spacing w:val="-1"/>
                <w:sz w:val="22"/>
                <w:szCs w:val="22"/>
              </w:rPr>
              <w:t xml:space="preserve"> poza obrys pojazdu muszą posiadać oznakowanie ostrzegawcze.</w:t>
            </w:r>
          </w:p>
          <w:p w:rsidR="00FD6EA9" w:rsidRPr="00407747" w:rsidRDefault="00FD6EA9" w:rsidP="001522B9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Tylne narożniki zabudowy zabezpieczone narożnikiem wykonanym ze stali nierdzewnej lub aluminium.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9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1522B9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Dodatkowo pojazd wyposażony w min. 2 szt. wysuwanych szuflad na cięższy sprzęt (np. narzędzia hydrauliczne) oraz sprzęt burzący. Miejsce montażu do uzgodnienia na etapie produkcji pojazdu.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711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3.28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7E7E75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Dach zabudowy w formie podestu roboczego, w wykonaniu antypoślizgowym, z zamontowanymi uchwytami na sprzęt. 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065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7E7E75">
            <w:pPr>
              <w:shd w:val="clear" w:color="auto" w:fill="FFFFFF"/>
              <w:spacing w:before="20" w:line="254" w:lineRule="exact"/>
              <w:jc w:val="both"/>
              <w:rPr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Dodatkowo na dachu pojazdu zamontowana skrzynia na sprzęt (nie zwiększająca maksymalnej wysokości pojazdu, wielkość oraz rozmieszczenie skrzyni uzgodniona z zamawiającym) wykonane z blachy aluminiowej ryflowanej. Skrzynia musi posiadać oświetlenie LED.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065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Default="00FD6EA9" w:rsidP="00814E9C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  <w:highlight w:val="green"/>
              </w:rPr>
            </w:pPr>
            <w:r w:rsidRPr="00407747">
              <w:rPr>
                <w:spacing w:val="-1"/>
                <w:sz w:val="22"/>
                <w:szCs w:val="22"/>
              </w:rPr>
              <w:t>Pojazd wyposażony w min. 4 zraszacze o wydajności 50÷100 dm3/min przy ciś</w:t>
            </w:r>
            <w:r w:rsidR="00814E9C">
              <w:rPr>
                <w:spacing w:val="-1"/>
                <w:sz w:val="22"/>
                <w:szCs w:val="22"/>
              </w:rPr>
              <w:t>nieniu</w:t>
            </w:r>
            <w:r w:rsidRPr="00407747">
              <w:rPr>
                <w:spacing w:val="-1"/>
                <w:sz w:val="22"/>
                <w:szCs w:val="22"/>
              </w:rPr>
              <w:t xml:space="preserve">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065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DB00B0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B03FC1">
              <w:rPr>
                <w:spacing w:val="-1"/>
                <w:sz w:val="22"/>
                <w:szCs w:val="22"/>
              </w:rPr>
              <w:t xml:space="preserve">Pojazd wyposażony w wyciągarkę o napędzie elektrycznym zamontowaną z przodu pojazdu o uciągu min. </w:t>
            </w:r>
            <w:smartTag w:uri="urn:schemas-microsoft-com:office:smarttags" w:element="metricconverter">
              <w:smartTagPr>
                <w:attr w:name="ProductID" w:val="8000 kg"/>
              </w:smartTagPr>
              <w:r w:rsidRPr="00B03FC1">
                <w:rPr>
                  <w:spacing w:val="-1"/>
                  <w:sz w:val="22"/>
                  <w:szCs w:val="22"/>
                </w:rPr>
                <w:t>8000 kg</w:t>
              </w:r>
            </w:smartTag>
            <w:r w:rsidRPr="00B03FC1">
              <w:rPr>
                <w:spacing w:val="-1"/>
                <w:sz w:val="22"/>
                <w:szCs w:val="22"/>
              </w:rPr>
              <w:t>, z liną długości min. 25m. Wyciągarka wyposażona w układ sterowania, rolkową prowadnicę liny oraz osłona kompozytowa i uchwyt na hak.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814E9C">
        <w:trPr>
          <w:trHeight w:val="2024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B03FC1" w:rsidRDefault="00FD6EA9" w:rsidP="00DB00B0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Wykonanie nadwozia z podestami umożliwiającymi łatwy dostęp do sprzętu pod każdą skrytką sprzętową (3 sztuki na stronę). Uchylenie (niedomknięcie) lub wysunięcie podestów i żaluzji musi być sygnalizowane w kabinie kierowcy (informacja o tym, która skrytka jest otwarta umieszczona na wyświetlaczu w kabinie). Podesty zabezpieczone dodatkowymi zamkami uniemożliwiającymi samoczynne otwarcie podestu w przypadku awarii siłownika. Podesty po otwarciu muszą posiadać oświetlenie pomarańczowe umieszczone na krawędziach. Sprzęt powinien być rozmieszczony grupowo w zależności od </w:t>
            </w:r>
            <w:r w:rsidR="00E17E2A" w:rsidRPr="00407747">
              <w:rPr>
                <w:spacing w:val="-1"/>
                <w:sz w:val="22"/>
                <w:szCs w:val="22"/>
              </w:rPr>
              <w:t>przeznaczenia z</w:t>
            </w:r>
            <w:r w:rsidRPr="00407747">
              <w:rPr>
                <w:spacing w:val="-1"/>
                <w:sz w:val="22"/>
                <w:szCs w:val="22"/>
              </w:rPr>
              <w:t xml:space="preserve"> zachowaniem ergonomii.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065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 w:rsidP="00EF7D15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DB00B0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Sygnał dźwiękowy i świetlny włączonego biegu wstecznego, jako sygnał świetlny akceptuje się światło cofania. </w:t>
            </w:r>
            <w:r w:rsidRPr="00407747">
              <w:rPr>
                <w:rStyle w:val="Teksttreci2"/>
                <w:rFonts w:ascii="Times New Roman" w:hAnsi="Times New Roman" w:cs="Times New Roman"/>
              </w:rPr>
              <w:t>Z tyłu pojazdu zamontowana kamera cofania z kolorowym wyświetlaczem zamontowanym w kabinie w polu widzenia kierowcy.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498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 w:rsidP="00C219BF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Pojazd wyposażony dodatkowo w:</w:t>
            </w:r>
          </w:p>
          <w:p w:rsidR="00FD6EA9" w:rsidRPr="00407747" w:rsidRDefault="00FD6EA9" w:rsidP="00C219BF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- </w:t>
            </w:r>
            <w:r w:rsidRPr="00407747">
              <w:rPr>
                <w:color w:val="000000"/>
                <w:spacing w:val="-1"/>
                <w:sz w:val="22"/>
                <w:szCs w:val="22"/>
              </w:rPr>
              <w:t xml:space="preserve">mocowanie reflektora </w:t>
            </w:r>
            <w:proofErr w:type="spellStart"/>
            <w:r w:rsidRPr="00407747">
              <w:rPr>
                <w:color w:val="000000"/>
                <w:spacing w:val="-1"/>
                <w:sz w:val="22"/>
                <w:szCs w:val="22"/>
              </w:rPr>
              <w:t>pogorzeliskowego</w:t>
            </w:r>
            <w:proofErr w:type="spellEnd"/>
            <w:r w:rsidRPr="00407747">
              <w:rPr>
                <w:color w:val="000000"/>
                <w:spacing w:val="-1"/>
                <w:sz w:val="22"/>
                <w:szCs w:val="22"/>
              </w:rPr>
              <w:t xml:space="preserve"> z gniazdem zasilającym,</w:t>
            </w:r>
          </w:p>
          <w:p w:rsidR="00FD6EA9" w:rsidRPr="00407747" w:rsidRDefault="00FD6EA9" w:rsidP="00C219BF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- światła LED do jazdy dziennej zintegrowane z reflektorami głównymi podwozia pojazdu,</w:t>
            </w:r>
          </w:p>
          <w:p w:rsidR="00FD6EA9" w:rsidRPr="00407747" w:rsidRDefault="00FD6EA9" w:rsidP="00C219BF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>- światła przeciwmgielne zabudowane fabrycznie w zderzaku, nie wystające poza jego obrys.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370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B00B0">
            <w:pPr>
              <w:shd w:val="clear" w:color="auto" w:fill="FFFFFF"/>
              <w:spacing w:before="20" w:line="25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EA6239">
              <w:rPr>
                <w:b/>
                <w:spacing w:val="-1"/>
                <w:sz w:val="22"/>
                <w:szCs w:val="22"/>
              </w:rPr>
              <w:t>Wyposażenie pożarnicze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370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B00B0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>Pojazd wyposażony w uchwyty na sprzęt dostarczony przez zamawiającego.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726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B03FC1">
            <w:pPr>
              <w:shd w:val="clear" w:color="auto" w:fill="FFFFFF"/>
              <w:spacing w:before="20" w:line="254" w:lineRule="exact"/>
              <w:jc w:val="both"/>
              <w:rPr>
                <w:spacing w:val="-1"/>
                <w:sz w:val="22"/>
                <w:szCs w:val="22"/>
              </w:rPr>
            </w:pPr>
            <w:r w:rsidRPr="00EA6239">
              <w:rPr>
                <w:spacing w:val="-1"/>
                <w:sz w:val="22"/>
                <w:szCs w:val="22"/>
              </w:rPr>
              <w:t xml:space="preserve">Szczegóły dotyczące rozmieszczenia i typów poszczególnych elementów wyposażenia i mocowania do uzgodnienia na etapie realizacji zamówienia z zamawiającym. 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370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DB00B0">
            <w:pPr>
              <w:shd w:val="clear" w:color="auto" w:fill="FFFFFF"/>
              <w:spacing w:before="20" w:line="25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EA6239">
              <w:rPr>
                <w:b/>
                <w:spacing w:val="-1"/>
                <w:sz w:val="22"/>
                <w:szCs w:val="22"/>
              </w:rPr>
              <w:t>Pozostałe warunki Zamawiającego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355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81323F">
            <w:pPr>
              <w:spacing w:before="20" w:line="240" w:lineRule="auto"/>
              <w:rPr>
                <w:b/>
                <w:bCs/>
                <w:sz w:val="22"/>
                <w:szCs w:val="22"/>
              </w:rPr>
            </w:pPr>
            <w:r w:rsidRPr="00EA6239">
              <w:rPr>
                <w:bCs/>
                <w:sz w:val="22"/>
                <w:szCs w:val="22"/>
              </w:rPr>
              <w:t xml:space="preserve">Gwarancja na pojazd (podwozie i zabudowę): min. 24 miesiące. 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370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8132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 xml:space="preserve">Wykonawca wskaże min. 1 punkt serwisowy podwozia (adres) – najbliższy siedzibie Zamawiającego. 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370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8132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>Wykonawca wskaże min. 1 punkt serwisowy nadwozia (adres) – najbliższy siedzibie Zamawiającego.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814E9C">
        <w:trPr>
          <w:trHeight w:val="1898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EA6239" w:rsidRDefault="00FD6EA9" w:rsidP="008132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>Wykonawca obowiązany jest do dostarczenia wraz z pojazdem:</w:t>
            </w:r>
          </w:p>
          <w:p w:rsidR="00FD6EA9" w:rsidRPr="00EA6239" w:rsidRDefault="00FD6EA9" w:rsidP="008132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 xml:space="preserve">- instrukcji obsługi w języku polskim do podwozia samochodu, zabudowy pożarniczej i zainstalowanych urządzeń i </w:t>
            </w:r>
            <w:r w:rsidR="00E17E2A" w:rsidRPr="00EA6239">
              <w:rPr>
                <w:rFonts w:eastAsia="Calibri"/>
                <w:color w:val="auto"/>
                <w:sz w:val="22"/>
                <w:szCs w:val="22"/>
              </w:rPr>
              <w:t>wyposażenia,</w:t>
            </w:r>
          </w:p>
          <w:p w:rsidR="00FD6EA9" w:rsidRPr="00EA6239" w:rsidRDefault="00FD6EA9" w:rsidP="008132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>- aktualne świadectwo dopuszczenia do użytkowania w ochronie przeciwpożarowej dla pojazdu,</w:t>
            </w:r>
          </w:p>
          <w:p w:rsidR="00FD6EA9" w:rsidRPr="00EA6239" w:rsidRDefault="00FD6EA9" w:rsidP="008132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A6239">
              <w:rPr>
                <w:rFonts w:eastAsia="Calibri"/>
                <w:color w:val="auto"/>
                <w:sz w:val="22"/>
                <w:szCs w:val="22"/>
              </w:rPr>
              <w:t>- dokumentacji niezbędnej do zarejestrowania pojazdu jako „samochód specjalny”, wynikający z ustawy „Prawo o ruchu drogowym”.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370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B6176A" w:rsidRDefault="00FD6EA9" w:rsidP="008132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B6176A">
              <w:rPr>
                <w:rFonts w:eastAsia="Calibri"/>
                <w:color w:val="auto"/>
                <w:sz w:val="22"/>
                <w:szCs w:val="22"/>
              </w:rPr>
              <w:t>Czas reakcji serwisu max. 72 godziny.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1729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B6176A" w:rsidRDefault="00FD6EA9" w:rsidP="00EA62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B03FC1">
              <w:rPr>
                <w:rFonts w:eastAsia="Calibri"/>
                <w:color w:val="auto"/>
                <w:sz w:val="22"/>
                <w:szCs w:val="22"/>
              </w:rPr>
              <w:t>Wykonanie logo gminy</w:t>
            </w:r>
            <w:r w:rsidR="00EA6239">
              <w:rPr>
                <w:rFonts w:eastAsia="Calibri"/>
                <w:color w:val="auto"/>
                <w:sz w:val="22"/>
                <w:szCs w:val="22"/>
              </w:rPr>
              <w:t xml:space="preserve"> (rozmieszczenie uzgodnić na etapie produkcji) </w:t>
            </w:r>
            <w:r w:rsidRPr="00B03FC1">
              <w:rPr>
                <w:rFonts w:eastAsia="Calibri"/>
                <w:color w:val="auto"/>
                <w:sz w:val="22"/>
                <w:szCs w:val="22"/>
              </w:rPr>
              <w:t xml:space="preserve"> oraz oznakowania numerami operacyjnymi zgodnie z obowiązującymi wymogami KG PSP (numer operacyjny zostanie przekazany po podpisaniu umowy z wykonawcą) oraz naklejki instytucji dotujących zakup samochodu</w:t>
            </w:r>
            <w:r w:rsidR="00441D8A">
              <w:rPr>
                <w:rFonts w:eastAsia="Calibri"/>
                <w:color w:val="auto"/>
                <w:sz w:val="22"/>
                <w:szCs w:val="22"/>
              </w:rPr>
              <w:t xml:space="preserve">(rozmieszczenie </w:t>
            </w:r>
            <w:r w:rsidR="00256E6A">
              <w:rPr>
                <w:rFonts w:eastAsia="Calibri"/>
                <w:color w:val="auto"/>
                <w:sz w:val="22"/>
                <w:szCs w:val="22"/>
              </w:rPr>
              <w:t>uzgodnić z zamawiającym na etapie produkcji,</w:t>
            </w:r>
            <w:r w:rsidR="00EA623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85F00">
              <w:rPr>
                <w:rFonts w:eastAsia="Calibri"/>
                <w:color w:val="auto"/>
                <w:sz w:val="22"/>
                <w:szCs w:val="22"/>
              </w:rPr>
              <w:t>l</w:t>
            </w:r>
            <w:r w:rsidRPr="00B03FC1">
              <w:rPr>
                <w:rFonts w:eastAsia="Calibri"/>
                <w:color w:val="auto"/>
                <w:sz w:val="22"/>
                <w:szCs w:val="22"/>
              </w:rPr>
              <w:t>oga</w:t>
            </w:r>
            <w:proofErr w:type="spellEnd"/>
            <w:r w:rsidRPr="00B03FC1">
              <w:rPr>
                <w:rFonts w:eastAsia="Calibri"/>
                <w:color w:val="auto"/>
                <w:sz w:val="22"/>
                <w:szCs w:val="22"/>
              </w:rPr>
              <w:t xml:space="preserve"> instytucji dotujących zostaną przekazane wybranemu Wykonawcy).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D6EA9" w:rsidRPr="00407747" w:rsidTr="00EA6239">
        <w:trPr>
          <w:trHeight w:val="2068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hd w:val="clear" w:color="auto" w:fill="FFFFFF"/>
              <w:spacing w:before="20" w:line="240" w:lineRule="auto"/>
              <w:ind w:left="72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5.7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  <w:sz w:val="22"/>
                <w:szCs w:val="22"/>
              </w:rPr>
            </w:pPr>
            <w:r w:rsidRPr="00407747">
              <w:rPr>
                <w:spacing w:val="-1"/>
                <w:sz w:val="22"/>
                <w:szCs w:val="22"/>
              </w:rPr>
              <w:t xml:space="preserve">Podwozie pojazdu musi posiadać aktualne świadectwo homologacji typu lub świadectwo zgodności WE zgodnie </w:t>
            </w:r>
            <w:r w:rsidR="00E17E2A" w:rsidRPr="00407747">
              <w:rPr>
                <w:spacing w:val="-1"/>
                <w:sz w:val="22"/>
                <w:szCs w:val="22"/>
              </w:rPr>
              <w:t>z odrębnymi</w:t>
            </w:r>
            <w:r w:rsidRPr="00407747">
              <w:rPr>
                <w:spacing w:val="-1"/>
                <w:sz w:val="22"/>
                <w:szCs w:val="22"/>
              </w:rPr>
              <w:t xml:space="preserve"> przepisami krajowymi odnoszącymi się do prawa o ruchu drogowym. W przypadku, gdy przekroczone zostaną warunki zabudowy określone przez producenta </w:t>
            </w:r>
            <w:r w:rsidR="00E17E2A" w:rsidRPr="00407747">
              <w:rPr>
                <w:spacing w:val="-1"/>
                <w:sz w:val="22"/>
                <w:szCs w:val="22"/>
              </w:rPr>
              <w:t>podwozia wymagane</w:t>
            </w:r>
            <w:r w:rsidRPr="00407747">
              <w:rPr>
                <w:spacing w:val="-1"/>
                <w:sz w:val="22"/>
                <w:szCs w:val="22"/>
              </w:rPr>
              <w:t xml:space="preserve"> jest świadectwo homologacji typu pojazdu kompletnego oraz zgoda producenta podwozia na wykonanie zabudowy. Urządzenia i podzespoły zamontowany w pojeździe powinny spełniać wymagania odrębnych przepisów krajowych i/lub międzynarodowych. Świadectwo homologacji załączone do oferty.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FD6EA9" w:rsidRPr="00407747" w:rsidRDefault="00FD6EA9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1460F" w:rsidRPr="00407747" w:rsidTr="0031460F">
        <w:trPr>
          <w:trHeight w:val="557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31460F" w:rsidRDefault="0031460F">
            <w:pPr>
              <w:shd w:val="clear" w:color="auto" w:fill="FFFFFF"/>
              <w:spacing w:before="20" w:line="240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9670" w:type="dxa"/>
            <w:shd w:val="clear" w:color="auto" w:fill="auto"/>
            <w:tcMar>
              <w:left w:w="98" w:type="dxa"/>
            </w:tcMar>
          </w:tcPr>
          <w:p w:rsidR="0031460F" w:rsidRPr="00407747" w:rsidRDefault="0031460F">
            <w:pPr>
              <w:shd w:val="clear" w:color="auto" w:fill="FFFFFF"/>
              <w:spacing w:before="20" w:line="250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Pojazd w dniu odbioru powinien mieć uzupełnione wszystkie płyny eksploatacyjne i pełny zbiornik paliwa.</w:t>
            </w:r>
          </w:p>
        </w:tc>
        <w:tc>
          <w:tcPr>
            <w:tcW w:w="3518" w:type="dxa"/>
            <w:shd w:val="clear" w:color="auto" w:fill="auto"/>
            <w:tcMar>
              <w:left w:w="98" w:type="dxa"/>
            </w:tcMar>
          </w:tcPr>
          <w:p w:rsidR="0031460F" w:rsidRPr="00407747" w:rsidRDefault="0031460F">
            <w:pPr>
              <w:snapToGrid w:val="0"/>
              <w:spacing w:before="20" w:line="24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6A26BB" w:rsidRPr="00407747" w:rsidRDefault="006A26BB" w:rsidP="0031460F">
      <w:pPr>
        <w:tabs>
          <w:tab w:val="left" w:pos="3402"/>
        </w:tabs>
        <w:ind w:right="110" w:firstLine="708"/>
      </w:pPr>
    </w:p>
    <w:p w:rsidR="006A26BB" w:rsidRPr="00407747" w:rsidRDefault="00727D51">
      <w:pPr>
        <w:shd w:val="clear" w:color="auto" w:fill="FFFFFF"/>
        <w:ind w:right="5"/>
        <w:jc w:val="both"/>
      </w:pPr>
      <w:r w:rsidRPr="00407747">
        <w:rPr>
          <w:rStyle w:val="Domylnaczcionkaakapitu1"/>
          <w:sz w:val="22"/>
          <w:szCs w:val="22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6A26BB" w:rsidRPr="00407747" w:rsidRDefault="006A26BB">
      <w:pPr>
        <w:shd w:val="clear" w:color="auto" w:fill="FFFFFF"/>
        <w:ind w:right="5"/>
        <w:jc w:val="both"/>
      </w:pPr>
    </w:p>
    <w:p w:rsidR="006A26BB" w:rsidRPr="00407747" w:rsidRDefault="00727D51">
      <w:pPr>
        <w:shd w:val="clear" w:color="auto" w:fill="FFFFFF"/>
        <w:ind w:right="5"/>
        <w:jc w:val="both"/>
      </w:pPr>
      <w:r w:rsidRPr="00407747">
        <w:rPr>
          <w:rStyle w:val="Domylnaczcionkaakapitu1"/>
          <w:sz w:val="22"/>
          <w:szCs w:val="22"/>
        </w:rPr>
        <w:t>Informujemy, że opis przedmiotu zamówienia wskazuje min. wymagania dla średniego samochodu pożarniczego. W zakresie wskazanych rozwiązań technicznych dopuszcza się rozwiązania równoważne pod względem użytkowym i funkcjonalnym. Ewentualne nazwy urządzeń lub wyrobów należy traktować jako typ przykładowy, dopuszcza się rozwiązania równoważne pod względem użytkowym i funkcjonalnym do podanych przez Zamawiającego. Obowiązek udowodnienia równoważności leży po stronie Wykonawcy.</w:t>
      </w:r>
    </w:p>
    <w:p w:rsidR="006A26BB" w:rsidRPr="00407747" w:rsidRDefault="006A26BB">
      <w:pPr>
        <w:shd w:val="clear" w:color="auto" w:fill="FFFFFF"/>
        <w:ind w:left="284" w:right="5"/>
        <w:jc w:val="both"/>
      </w:pPr>
    </w:p>
    <w:p w:rsidR="006A26BB" w:rsidRPr="00407747" w:rsidRDefault="00E17E2A">
      <w:pPr>
        <w:shd w:val="clear" w:color="auto" w:fill="FFFFFF"/>
        <w:jc w:val="both"/>
      </w:pPr>
      <w:r w:rsidRPr="00407747">
        <w:rPr>
          <w:rStyle w:val="Domylnaczcionkaakapitu1"/>
          <w:spacing w:val="-1"/>
          <w:sz w:val="22"/>
          <w:szCs w:val="22"/>
        </w:rPr>
        <w:t>W celu optymalnego</w:t>
      </w:r>
      <w:r w:rsidR="00727D51" w:rsidRPr="00407747">
        <w:rPr>
          <w:rStyle w:val="Domylnaczcionkaakapitu1"/>
          <w:spacing w:val="-1"/>
          <w:sz w:val="22"/>
          <w:szCs w:val="22"/>
        </w:rPr>
        <w:t xml:space="preserve"> rozmieszczenia </w:t>
      </w:r>
      <w:r w:rsidRPr="00407747">
        <w:rPr>
          <w:rStyle w:val="Domylnaczcionkaakapitu1"/>
          <w:spacing w:val="-1"/>
          <w:sz w:val="22"/>
          <w:szCs w:val="22"/>
        </w:rPr>
        <w:t>i zamontowania</w:t>
      </w:r>
      <w:r w:rsidR="00727D51" w:rsidRPr="00407747">
        <w:rPr>
          <w:rStyle w:val="Domylnaczcionkaakapitu1"/>
          <w:spacing w:val="-1"/>
          <w:sz w:val="22"/>
          <w:szCs w:val="22"/>
        </w:rPr>
        <w:t xml:space="preserve"> sprzętu przez wykonawcę Zamawiający wymaga uzgodnienia rozłożenia sprzętu w procesie zabu</w:t>
      </w:r>
      <w:r w:rsidR="00727D51" w:rsidRPr="00407747">
        <w:rPr>
          <w:rStyle w:val="Domylnaczcionkaakapitu1"/>
          <w:sz w:val="22"/>
          <w:szCs w:val="22"/>
        </w:rPr>
        <w:t>dowy pojazdu.</w:t>
      </w:r>
    </w:p>
    <w:p w:rsidR="006A26BB" w:rsidRPr="00407747" w:rsidRDefault="006A26BB">
      <w:pPr>
        <w:pStyle w:val="Tekstpodstawowy"/>
        <w:spacing w:line="360" w:lineRule="auto"/>
        <w:rPr>
          <w:sz w:val="22"/>
          <w:szCs w:val="22"/>
        </w:rPr>
      </w:pPr>
    </w:p>
    <w:p w:rsidR="006A26BB" w:rsidRDefault="00814E9C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14E9C" w:rsidRPr="00407747" w:rsidRDefault="00814E9C">
      <w:pPr>
        <w:pStyle w:val="Tekstpodstawowy"/>
        <w:spacing w:line="360" w:lineRule="auto"/>
        <w:rPr>
          <w:sz w:val="22"/>
          <w:szCs w:val="22"/>
        </w:rPr>
      </w:pPr>
    </w:p>
    <w:p w:rsidR="006A26BB" w:rsidRPr="00407747" w:rsidRDefault="00727D51">
      <w:pPr>
        <w:pStyle w:val="Tekstpodstawowy"/>
        <w:spacing w:line="360" w:lineRule="auto"/>
        <w:rPr>
          <w:sz w:val="22"/>
          <w:szCs w:val="22"/>
        </w:rPr>
      </w:pP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</w:r>
      <w:r w:rsidRPr="00407747">
        <w:rPr>
          <w:sz w:val="22"/>
          <w:szCs w:val="22"/>
        </w:rPr>
        <w:tab/>
        <w:t>…......................................................................</w:t>
      </w:r>
    </w:p>
    <w:p w:rsidR="006A26BB" w:rsidRPr="00407747" w:rsidRDefault="00727D51">
      <w:pPr>
        <w:pStyle w:val="Tekstpodstawowy"/>
        <w:ind w:left="6521" w:firstLine="561"/>
        <w:jc w:val="center"/>
        <w:rPr>
          <w:sz w:val="22"/>
          <w:szCs w:val="22"/>
        </w:rPr>
      </w:pPr>
      <w:r w:rsidRPr="00407747">
        <w:rPr>
          <w:sz w:val="22"/>
          <w:szCs w:val="22"/>
        </w:rPr>
        <w:t>Pieczęć Wykonawcy oraz podpis wraz z pieczęcią</w:t>
      </w:r>
    </w:p>
    <w:p w:rsidR="006A26BB" w:rsidRPr="00407747" w:rsidRDefault="00727D51">
      <w:pPr>
        <w:pStyle w:val="Tekstpodstawowy"/>
        <w:ind w:left="6521" w:firstLine="561"/>
        <w:jc w:val="center"/>
        <w:rPr>
          <w:sz w:val="22"/>
          <w:szCs w:val="22"/>
        </w:rPr>
      </w:pPr>
      <w:r w:rsidRPr="00407747">
        <w:rPr>
          <w:sz w:val="22"/>
          <w:szCs w:val="22"/>
        </w:rPr>
        <w:t>osoby uprawnionej do reprezentowania Wykonawcy</w:t>
      </w:r>
    </w:p>
    <w:p w:rsidR="006A26BB" w:rsidRPr="00407747" w:rsidRDefault="006A26BB"/>
    <w:sectPr w:rsidR="006A26BB" w:rsidRPr="00407747" w:rsidSect="00CE25FC">
      <w:headerReference w:type="default" r:id="rId7"/>
      <w:footerReference w:type="default" r:id="rId8"/>
      <w:pgSz w:w="16838" w:h="11906" w:orient="landscape"/>
      <w:pgMar w:top="993" w:right="1418" w:bottom="1276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4E" w:rsidRDefault="0099544E" w:rsidP="006A26BB">
      <w:pPr>
        <w:spacing w:line="240" w:lineRule="auto"/>
      </w:pPr>
      <w:r>
        <w:separator/>
      </w:r>
    </w:p>
  </w:endnote>
  <w:endnote w:type="continuationSeparator" w:id="0">
    <w:p w:rsidR="0099544E" w:rsidRDefault="0099544E" w:rsidP="006A2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2693"/>
      <w:docPartObj>
        <w:docPartGallery w:val="Page Numbers (Bottom of Page)"/>
        <w:docPartUnique/>
      </w:docPartObj>
    </w:sdtPr>
    <w:sdtEndPr/>
    <w:sdtContent>
      <w:p w:rsidR="00527882" w:rsidRDefault="00527882">
        <w:pPr>
          <w:pStyle w:val="Stopka1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 w:rsidR="00715A02">
          <w:rPr>
            <w:rFonts w:ascii="Arial" w:eastAsiaTheme="majorEastAsia" w:hAnsi="Arial" w:cs="Arial"/>
            <w:sz w:val="22"/>
            <w:szCs w:val="28"/>
          </w:rPr>
          <w:fldChar w:fldCharType="begin"/>
        </w:r>
        <w:r>
          <w:instrText>PAGE</w:instrText>
        </w:r>
        <w:r w:rsidR="00715A02">
          <w:fldChar w:fldCharType="separate"/>
        </w:r>
        <w:r w:rsidR="00660170">
          <w:rPr>
            <w:noProof/>
          </w:rPr>
          <w:t>13</w:t>
        </w:r>
        <w:r w:rsidR="00715A02">
          <w:fldChar w:fldCharType="end"/>
        </w:r>
      </w:p>
    </w:sdtContent>
  </w:sdt>
  <w:p w:rsidR="00527882" w:rsidRDefault="0052788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4E" w:rsidRDefault="0099544E" w:rsidP="006A26BB">
      <w:pPr>
        <w:spacing w:line="240" w:lineRule="auto"/>
      </w:pPr>
      <w:r>
        <w:separator/>
      </w:r>
    </w:p>
  </w:footnote>
  <w:footnote w:type="continuationSeparator" w:id="0">
    <w:p w:rsidR="0099544E" w:rsidRDefault="0099544E" w:rsidP="006A2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70" w:rsidRDefault="00660170" w:rsidP="00660170">
    <w:r>
      <w:tab/>
    </w:r>
  </w:p>
  <w:p w:rsidR="00660170" w:rsidRDefault="00660170" w:rsidP="00660170"/>
  <w:p w:rsidR="00660170" w:rsidRDefault="00660170" w:rsidP="00660170"/>
  <w:p w:rsidR="00660170" w:rsidRDefault="00660170" w:rsidP="00660170"/>
  <w:p w:rsidR="00660170" w:rsidRDefault="00660170" w:rsidP="00660170"/>
  <w:p w:rsidR="00660170" w:rsidRDefault="00660170" w:rsidP="00660170"/>
  <w:p w:rsidR="00660170" w:rsidRPr="00660170" w:rsidRDefault="00660170" w:rsidP="00660170">
    <w:pPr>
      <w:rPr>
        <w:color w:val="auto"/>
        <w:sz w:val="24"/>
        <w:szCs w:val="24"/>
      </w:rPr>
    </w:pPr>
    <w:r>
      <w:rPr>
        <w:color w:val="auto"/>
        <w:sz w:val="24"/>
        <w:szCs w:val="24"/>
      </w:rPr>
      <w:t>5/SO.271.2.2019</w:t>
    </w:r>
  </w:p>
  <w:p w:rsidR="00660170" w:rsidRPr="00660170" w:rsidRDefault="00660170" w:rsidP="00660170">
    <w:pPr>
      <w:widowControl/>
      <w:spacing w:line="240" w:lineRule="auto"/>
      <w:jc w:val="right"/>
      <w:textAlignment w:val="auto"/>
      <w:rPr>
        <w:color w:val="auto"/>
        <w:sz w:val="24"/>
        <w:szCs w:val="24"/>
      </w:rPr>
    </w:pPr>
    <w:r w:rsidRPr="00660170">
      <w:rPr>
        <w:rFonts w:ascii="Garamond" w:hAnsi="Garamond" w:cs="Arial"/>
        <w:color w:val="auto"/>
      </w:rPr>
      <w:t xml:space="preserve"> </w:t>
    </w:r>
    <w:r w:rsidRPr="00660170">
      <w:rPr>
        <w:color w:val="auto"/>
        <w:sz w:val="24"/>
        <w:szCs w:val="24"/>
      </w:rPr>
      <w:t>Załącznik nr 1A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BB"/>
    <w:rsid w:val="0000359A"/>
    <w:rsid w:val="00004BC7"/>
    <w:rsid w:val="00004BF5"/>
    <w:rsid w:val="000147E5"/>
    <w:rsid w:val="0004279F"/>
    <w:rsid w:val="00042A87"/>
    <w:rsid w:val="00052A7B"/>
    <w:rsid w:val="000D4682"/>
    <w:rsid w:val="000E4FAE"/>
    <w:rsid w:val="000F3A2C"/>
    <w:rsid w:val="001170FD"/>
    <w:rsid w:val="001825D8"/>
    <w:rsid w:val="001B2D09"/>
    <w:rsid w:val="001B6E65"/>
    <w:rsid w:val="001C1A30"/>
    <w:rsid w:val="001C6E6F"/>
    <w:rsid w:val="001D067E"/>
    <w:rsid w:val="001D400C"/>
    <w:rsid w:val="00233BD0"/>
    <w:rsid w:val="00256E6A"/>
    <w:rsid w:val="002978DC"/>
    <w:rsid w:val="002A5460"/>
    <w:rsid w:val="002D6F5E"/>
    <w:rsid w:val="002E7636"/>
    <w:rsid w:val="002F383A"/>
    <w:rsid w:val="002F3B07"/>
    <w:rsid w:val="0031460F"/>
    <w:rsid w:val="00332B8C"/>
    <w:rsid w:val="00346522"/>
    <w:rsid w:val="00355D95"/>
    <w:rsid w:val="0036021B"/>
    <w:rsid w:val="00407747"/>
    <w:rsid w:val="00425972"/>
    <w:rsid w:val="00441D8A"/>
    <w:rsid w:val="004453AE"/>
    <w:rsid w:val="004765CB"/>
    <w:rsid w:val="004B75CB"/>
    <w:rsid w:val="004E7F76"/>
    <w:rsid w:val="00527882"/>
    <w:rsid w:val="00530CCD"/>
    <w:rsid w:val="00561B04"/>
    <w:rsid w:val="00571384"/>
    <w:rsid w:val="005A15DE"/>
    <w:rsid w:val="005B319A"/>
    <w:rsid w:val="005C1305"/>
    <w:rsid w:val="005D4776"/>
    <w:rsid w:val="005D5552"/>
    <w:rsid w:val="005D642E"/>
    <w:rsid w:val="005E340A"/>
    <w:rsid w:val="0062409E"/>
    <w:rsid w:val="00660170"/>
    <w:rsid w:val="00683AF2"/>
    <w:rsid w:val="006A26BB"/>
    <w:rsid w:val="006A4DE8"/>
    <w:rsid w:val="006E56D0"/>
    <w:rsid w:val="00711FA4"/>
    <w:rsid w:val="00715A02"/>
    <w:rsid w:val="00722176"/>
    <w:rsid w:val="00727D51"/>
    <w:rsid w:val="007321F7"/>
    <w:rsid w:val="00740EB8"/>
    <w:rsid w:val="007C5F93"/>
    <w:rsid w:val="007E710C"/>
    <w:rsid w:val="007F058B"/>
    <w:rsid w:val="00814E9C"/>
    <w:rsid w:val="008328DF"/>
    <w:rsid w:val="00894185"/>
    <w:rsid w:val="008D5005"/>
    <w:rsid w:val="008D57C7"/>
    <w:rsid w:val="008E0993"/>
    <w:rsid w:val="00941443"/>
    <w:rsid w:val="0094447C"/>
    <w:rsid w:val="009477E6"/>
    <w:rsid w:val="00990B93"/>
    <w:rsid w:val="0099544E"/>
    <w:rsid w:val="009958DC"/>
    <w:rsid w:val="009D0597"/>
    <w:rsid w:val="009F0CD0"/>
    <w:rsid w:val="009F0F67"/>
    <w:rsid w:val="00A24722"/>
    <w:rsid w:val="00A30A42"/>
    <w:rsid w:val="00A354EB"/>
    <w:rsid w:val="00A52184"/>
    <w:rsid w:val="00A57089"/>
    <w:rsid w:val="00A85F00"/>
    <w:rsid w:val="00AA5D07"/>
    <w:rsid w:val="00AB76A7"/>
    <w:rsid w:val="00AC2C47"/>
    <w:rsid w:val="00AC324D"/>
    <w:rsid w:val="00AD2C8F"/>
    <w:rsid w:val="00B03FC1"/>
    <w:rsid w:val="00B15701"/>
    <w:rsid w:val="00B32C5B"/>
    <w:rsid w:val="00B630D7"/>
    <w:rsid w:val="00B86F16"/>
    <w:rsid w:val="00BD0EF4"/>
    <w:rsid w:val="00C219BF"/>
    <w:rsid w:val="00C21B81"/>
    <w:rsid w:val="00C23236"/>
    <w:rsid w:val="00C278A2"/>
    <w:rsid w:val="00C4457A"/>
    <w:rsid w:val="00C70357"/>
    <w:rsid w:val="00C77339"/>
    <w:rsid w:val="00C9112B"/>
    <w:rsid w:val="00C93E36"/>
    <w:rsid w:val="00CA3522"/>
    <w:rsid w:val="00CA3AF3"/>
    <w:rsid w:val="00CD0357"/>
    <w:rsid w:val="00CE25FC"/>
    <w:rsid w:val="00CF3AEB"/>
    <w:rsid w:val="00D334D7"/>
    <w:rsid w:val="00D40832"/>
    <w:rsid w:val="00D61B0F"/>
    <w:rsid w:val="00D73F20"/>
    <w:rsid w:val="00D90B76"/>
    <w:rsid w:val="00DB00B0"/>
    <w:rsid w:val="00DD1926"/>
    <w:rsid w:val="00DF15C2"/>
    <w:rsid w:val="00DF20CC"/>
    <w:rsid w:val="00DF6143"/>
    <w:rsid w:val="00E17E2A"/>
    <w:rsid w:val="00E20F64"/>
    <w:rsid w:val="00E318DD"/>
    <w:rsid w:val="00E41FA1"/>
    <w:rsid w:val="00EA268C"/>
    <w:rsid w:val="00EA6239"/>
    <w:rsid w:val="00EC693F"/>
    <w:rsid w:val="00F00300"/>
    <w:rsid w:val="00F02C4F"/>
    <w:rsid w:val="00F348A2"/>
    <w:rsid w:val="00F50873"/>
    <w:rsid w:val="00FA32A2"/>
    <w:rsid w:val="00FD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AB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109AB"/>
  </w:style>
  <w:style w:type="character" w:customStyle="1" w:styleId="Wyrnienie">
    <w:name w:val="Wyróżnienie"/>
    <w:qFormat/>
    <w:rsid w:val="005109AB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76B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6A26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C76BE"/>
    <w:pPr>
      <w:spacing w:after="140" w:line="288" w:lineRule="auto"/>
    </w:pPr>
  </w:style>
  <w:style w:type="paragraph" w:styleId="Lista">
    <w:name w:val="List"/>
    <w:basedOn w:val="Tekstpodstawowy"/>
    <w:rsid w:val="006A26BB"/>
    <w:rPr>
      <w:rFonts w:cs="Lucida Sans"/>
    </w:rPr>
  </w:style>
  <w:style w:type="paragraph" w:customStyle="1" w:styleId="Legenda1">
    <w:name w:val="Legenda1"/>
    <w:basedOn w:val="Normalny"/>
    <w:qFormat/>
    <w:rsid w:val="006A26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26BB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51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D4682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A7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A7B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A7B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6601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0170"/>
    <w:rPr>
      <w:rFonts w:ascii="Times New Roman" w:eastAsia="Times New Roman" w:hAnsi="Times New Roman" w:cs="Times New Roman"/>
      <w:color w:val="00000A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AB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109AB"/>
  </w:style>
  <w:style w:type="character" w:customStyle="1" w:styleId="Wyrnienie">
    <w:name w:val="Wyróżnienie"/>
    <w:qFormat/>
    <w:rsid w:val="005109AB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76B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6A26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C76BE"/>
    <w:pPr>
      <w:spacing w:after="140" w:line="288" w:lineRule="auto"/>
    </w:pPr>
  </w:style>
  <w:style w:type="paragraph" w:styleId="Lista">
    <w:name w:val="List"/>
    <w:basedOn w:val="Tekstpodstawowy"/>
    <w:rsid w:val="006A26BB"/>
    <w:rPr>
      <w:rFonts w:cs="Lucida Sans"/>
    </w:rPr>
  </w:style>
  <w:style w:type="paragraph" w:customStyle="1" w:styleId="Legenda1">
    <w:name w:val="Legenda1"/>
    <w:basedOn w:val="Normalny"/>
    <w:qFormat/>
    <w:rsid w:val="006A26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26BB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51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D4682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A7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A7B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A7B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6601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0170"/>
    <w:rPr>
      <w:rFonts w:ascii="Times New Roman" w:eastAsia="Times New Roman" w:hAnsi="Times New Roman" w:cs="Times New Roman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4263</Words>
  <Characters>25583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</dc:creator>
  <cp:lastModifiedBy>Kierownik</cp:lastModifiedBy>
  <cp:revision>3</cp:revision>
  <cp:lastPrinted>2019-07-12T06:45:00Z</cp:lastPrinted>
  <dcterms:created xsi:type="dcterms:W3CDTF">2019-07-12T08:44:00Z</dcterms:created>
  <dcterms:modified xsi:type="dcterms:W3CDTF">2019-07-12T09:15:00Z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