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75A56" w14:paraId="4C5AB6E3" w14:textId="77777777" w:rsidTr="0047630C">
        <w:tc>
          <w:tcPr>
            <w:tcW w:w="6997" w:type="dxa"/>
          </w:tcPr>
          <w:p w14:paraId="6655FCF9" w14:textId="77777777" w:rsidR="00575A56" w:rsidRDefault="00575A5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0BD6D94B" w14:textId="11BD095D" w:rsidR="00575A56" w:rsidRDefault="00575A5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</w:t>
            </w:r>
            <w:r w:rsidR="000266E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B</w:t>
            </w:r>
          </w:p>
        </w:tc>
      </w:tr>
    </w:tbl>
    <w:p w14:paraId="4F26F57C" w14:textId="4E65A18F" w:rsidR="00575A56" w:rsidRPr="00C52D5F" w:rsidRDefault="00575A56" w:rsidP="00575A5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17104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473696AC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43F1DCD" w14:textId="1E1DCBF6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iCs/>
          <w:sz w:val="20"/>
          <w:szCs w:val="20"/>
        </w:rPr>
        <w:t xml:space="preserve"> nr </w:t>
      </w:r>
      <w:r w:rsidR="000266E5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C52D5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C52D5F">
        <w:rPr>
          <w:rFonts w:ascii="Times New Roman" w:hAnsi="Times New Roman" w:cs="Times New Roman"/>
          <w:iCs/>
          <w:sz w:val="20"/>
          <w:szCs w:val="20"/>
        </w:rPr>
        <w:t>Sprzęt do rejestrowania oraz obróbki obrazu i dźwięku</w:t>
      </w:r>
    </w:p>
    <w:p w14:paraId="546708BB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52D5F">
        <w:rPr>
          <w:rFonts w:ascii="Times New Roman" w:hAnsi="Times New Roman" w:cs="Times New Roman"/>
          <w:iCs/>
          <w:sz w:val="20"/>
          <w:szCs w:val="20"/>
        </w:rPr>
        <w:t>Opis zamawianego sprzętu z minimalnymi wymaganiami.</w:t>
      </w:r>
    </w:p>
    <w:p w14:paraId="0FC6BDCF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395"/>
        <w:gridCol w:w="1701"/>
        <w:gridCol w:w="4394"/>
      </w:tblGrid>
      <w:tr w:rsidR="00575A56" w:rsidRPr="00C52D5F" w14:paraId="16C2B3C0" w14:textId="77777777" w:rsidTr="0047630C">
        <w:trPr>
          <w:trHeight w:val="64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66C79CD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A8991E1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AAE2780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opis/minimalne wymagania techniczne</w:t>
            </w:r>
          </w:p>
        </w:tc>
        <w:tc>
          <w:tcPr>
            <w:tcW w:w="1701" w:type="dxa"/>
            <w:vAlign w:val="center"/>
          </w:tcPr>
          <w:p w14:paraId="762E2D44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648B8CC0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394" w:type="dxa"/>
            <w:vAlign w:val="center"/>
          </w:tcPr>
          <w:p w14:paraId="58A3961D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tr w:rsidR="00575A56" w:rsidRPr="00C52D5F" w14:paraId="4AB5A10B" w14:textId="77777777" w:rsidTr="0047630C">
        <w:trPr>
          <w:trHeight w:val="5419"/>
        </w:trPr>
        <w:tc>
          <w:tcPr>
            <w:tcW w:w="846" w:type="dxa"/>
            <w:shd w:val="clear" w:color="auto" w:fill="auto"/>
            <w:noWrap/>
            <w:vAlign w:val="center"/>
          </w:tcPr>
          <w:p w14:paraId="46767EBA" w14:textId="77777777" w:rsidR="00575A56" w:rsidRPr="00C52D5F" w:rsidRDefault="00575A56" w:rsidP="00575A5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4AE88554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Mikrofon dynamiczny z akcesoriami</w:t>
            </w:r>
          </w:p>
        </w:tc>
        <w:tc>
          <w:tcPr>
            <w:tcW w:w="4395" w:type="dxa"/>
            <w:shd w:val="clear" w:color="auto" w:fill="auto"/>
          </w:tcPr>
          <w:p w14:paraId="7082C8AD" w14:textId="1D2AAC03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 się z</w:t>
            </w: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45980AB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Odbiornik bezprzewodowy:</w:t>
            </w:r>
          </w:p>
          <w:p w14:paraId="58AA08A5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12 kompatybilnych systemów (w zależności od regionu)</w:t>
            </w:r>
          </w:p>
          <w:p w14:paraId="0E1A8AB2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Sterowany mikroprocesorem wewnętrzny system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diversity</w:t>
            </w:r>
            <w:proofErr w:type="spellEnd"/>
          </w:p>
          <w:p w14:paraId="2B477F98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QuickScan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lokalizuje najlepszą otwartą częstotliwość</w:t>
            </w:r>
          </w:p>
          <w:p w14:paraId="70F6B525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audio 1/4″ i XLR</w:t>
            </w:r>
          </w:p>
          <w:p w14:paraId="43903EDB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Dwukolorowa dioda LED stanu audio</w:t>
            </w:r>
          </w:p>
          <w:p w14:paraId="0FC83F7D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zielony: normalne poziomy dźwięku</w:t>
            </w:r>
          </w:p>
          <w:p w14:paraId="10384F6B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czerwony: nadmierny poziom dźwięku (przeciążenie/przycinanie</w:t>
            </w:r>
          </w:p>
          <w:p w14:paraId="5B4B6767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CAC8B6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2xMikrofon:</w:t>
            </w:r>
          </w:p>
          <w:p w14:paraId="5C82D657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Dynamiczny mikrofon wokalny zaprojektowany z myślą o profesjonalnym nagłośnieniu. Przy użyciu 2 baterii AA (w zestawie) i zasięgu działania 100m może pracować w trybie ciągłym nawet przez 14 godzin.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Dioda LED stanu zasilania i baterii</w:t>
            </w:r>
          </w:p>
          <w:p w14:paraId="2265BAEC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Regulowane wzmocnienie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Szybkie i łatwe dopasowanie częstotliwości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AA (w zestawie) zapewniają do 14 godzin ciągłej pracy</w:t>
            </w:r>
          </w:p>
          <w:p w14:paraId="33C0B81E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m (300 stóp) zasięgu działania</w:t>
            </w:r>
          </w:p>
          <w:p w14:paraId="03641C36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Zintegrowana konstrukcja kapsuły mikrofonu</w:t>
            </w:r>
          </w:p>
          <w:p w14:paraId="329AF7C5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-10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tłumienia wzmocnienia.</w:t>
            </w:r>
          </w:p>
        </w:tc>
        <w:tc>
          <w:tcPr>
            <w:tcW w:w="1701" w:type="dxa"/>
            <w:vAlign w:val="center"/>
          </w:tcPr>
          <w:p w14:paraId="7E200439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2D4EFFBC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56" w:rsidRPr="00C52D5F" w14:paraId="56F6A28C" w14:textId="77777777" w:rsidTr="0047630C">
        <w:trPr>
          <w:trHeight w:val="5419"/>
        </w:trPr>
        <w:tc>
          <w:tcPr>
            <w:tcW w:w="846" w:type="dxa"/>
            <w:shd w:val="clear" w:color="auto" w:fill="auto"/>
            <w:noWrap/>
            <w:vAlign w:val="center"/>
          </w:tcPr>
          <w:p w14:paraId="34F0035B" w14:textId="77777777" w:rsidR="00575A56" w:rsidRPr="00C52D5F" w:rsidRDefault="00575A56" w:rsidP="00575A5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6BD8429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Konsola/mikser dźwięku z akcesoriami</w:t>
            </w:r>
          </w:p>
        </w:tc>
        <w:tc>
          <w:tcPr>
            <w:tcW w:w="4395" w:type="dxa"/>
            <w:shd w:val="clear" w:color="auto" w:fill="auto"/>
          </w:tcPr>
          <w:p w14:paraId="5F840B62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16-kanałowa konsola miksera</w:t>
            </w:r>
          </w:p>
          <w:p w14:paraId="67B59D6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Maks. 10 wejść mikrofonowych / 16 liniowych (8 mono + 4 stereo)</w:t>
            </w:r>
          </w:p>
          <w:p w14:paraId="3D65048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4 GRUPY autobusowe + 1 stereofoniczna magistrala</w:t>
            </w:r>
          </w:p>
          <w:p w14:paraId="676AEBF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4 AUX (z FX) "D-PRE" przedwzmacniacz mikrofonu z odwróconym obwodem </w:t>
            </w:r>
          </w:p>
          <w:p w14:paraId="0BEBE69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Sprężarki 1-przyciskowe</w:t>
            </w:r>
          </w:p>
          <w:p w14:paraId="73F9B945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Procesor SPX z 24 programami efektów wysokiej jakości</w:t>
            </w:r>
          </w:p>
          <w:p w14:paraId="4E456F6C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Interfejs USB z 2 wejściami / 2 wyjściami (24 bity / 192 kHz)</w:t>
            </w:r>
          </w:p>
          <w:p w14:paraId="58D056AD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Kompatybilny z iPadem (wersja 2 lub wyższa) poprzez Apple iPad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Camera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Connection Kit /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Lightning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to USB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cable</w:t>
            </w:r>
            <w:proofErr w:type="spellEnd"/>
          </w:p>
          <w:p w14:paraId="4B9A1FE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Cubase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AI DAW w wersji do pobrania</w:t>
            </w:r>
          </w:p>
          <w:p w14:paraId="72C616A9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Przełącznik PAD dla wejść mono +48V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phantom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</w:p>
          <w:p w14:paraId="3460516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Wyjścia XLR</w:t>
            </w:r>
          </w:p>
          <w:p w14:paraId="6E1E8CA4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Wewnętrzny uniwersalny zasilacz sieciowy</w:t>
            </w:r>
          </w:p>
          <w:p w14:paraId="25065555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Zestaw do montażu w szafie w zestawie</w:t>
            </w:r>
          </w:p>
          <w:p w14:paraId="7F046B2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metalowa obudowa</w:t>
            </w:r>
          </w:p>
          <w:p w14:paraId="678EB53E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Wymiary: 444 x 130 x 500 mm</w:t>
            </w:r>
          </w:p>
          <w:p w14:paraId="68CBE6DC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waga: 6,8 kg</w:t>
            </w:r>
          </w:p>
        </w:tc>
        <w:tc>
          <w:tcPr>
            <w:tcW w:w="1701" w:type="dxa"/>
            <w:vAlign w:val="center"/>
          </w:tcPr>
          <w:p w14:paraId="71646FDE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52491B5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56" w:rsidRPr="00C52D5F" w14:paraId="23C98326" w14:textId="77777777" w:rsidTr="0047630C">
        <w:trPr>
          <w:trHeight w:val="1984"/>
        </w:trPr>
        <w:tc>
          <w:tcPr>
            <w:tcW w:w="846" w:type="dxa"/>
            <w:shd w:val="clear" w:color="auto" w:fill="auto"/>
            <w:noWrap/>
            <w:vAlign w:val="center"/>
          </w:tcPr>
          <w:p w14:paraId="4EC6ADE0" w14:textId="77777777" w:rsidR="00575A56" w:rsidRPr="00C52D5F" w:rsidRDefault="00575A56" w:rsidP="00575A5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37093C1F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Nagłośnienie</w:t>
            </w:r>
          </w:p>
        </w:tc>
        <w:tc>
          <w:tcPr>
            <w:tcW w:w="4395" w:type="dxa"/>
            <w:shd w:val="clear" w:color="auto" w:fill="auto"/>
          </w:tcPr>
          <w:p w14:paraId="7854519E" w14:textId="017DDE36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głośnikowa w obudowie ze wzmocnionej 15 mm sklejki </w:t>
            </w:r>
            <w:r w:rsidR="007077BB" w:rsidRPr="00C52D5F">
              <w:rPr>
                <w:rFonts w:ascii="Times New Roman" w:hAnsi="Times New Roman" w:cs="Times New Roman"/>
                <w:sz w:val="20"/>
                <w:szCs w:val="20"/>
              </w:rPr>
              <w:t>wielowarstwowej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. Posiada wbudowane głośniki o rozmiarach 12 cali oraz 1,5 cala. Sprawdzi się doskonale przy nagłaśnianiu wystąpień,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konferencyjnych, </w:t>
            </w:r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szkolnych,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lub jako dodatkowy element rozbudowanego systemu nagłośnieniowego wydarzeń muzycznych. Dzięki odpowiedniemu kształtowi obudowy możemy ją wykorzystać jako odsłuch sceniczny. Dzięki wbudowanemu wzmacniaczowi o mocy 1000 W ograniczamy ilość sprzętu i możemy podpinać bezpośrednio zestawy mikrofonowe oraz muzyczne. Złącza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XLR / TRS zapewniają wysoką uniwersalność połączeń, a szerokie pasmo przenoszenia sprawdzi się w wielu zastosowaniach.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Wyjścia audio pozwalają łączyć ze sobą kolejne elementy nagłośnienia.</w:t>
            </w:r>
          </w:p>
          <w:p w14:paraId="55CC0ADD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9B2D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Driver wysokotonowy 1.5” z tytanową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membamą</w:t>
            </w:r>
            <w:proofErr w:type="spellEnd"/>
          </w:p>
          <w:p w14:paraId="47DF249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Głośnik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niskotonowy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12”</w:t>
            </w:r>
          </w:p>
          <w:p w14:paraId="568CAFE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Dyspersja 90° x 50°</w:t>
            </w:r>
          </w:p>
          <w:p w14:paraId="6E45A12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Łatwa w podłączeniu i obsłudze dzięki różnego rodzaju wejściom/wyjściom sygnałowym</w:t>
            </w:r>
          </w:p>
          <w:p w14:paraId="0043A298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Wbudowany wzmacniacz klasy D o mocy 1000W</w:t>
            </w:r>
          </w:p>
          <w:p w14:paraId="3DC163D5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Możliwość postawienia na rurze statywowej lub statywie Solidna obudowa wykonana ze sklejki bałtyckiej</w:t>
            </w:r>
          </w:p>
          <w:p w14:paraId="3F1FA837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12E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2334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Dane techniczne produktu:</w:t>
            </w:r>
          </w:p>
          <w:p w14:paraId="63376D9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Pasmo przenoszenia - 3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: 60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- 18 000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607307D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Pasmo przenoszenia - 10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: 50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- 20 000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380013AD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Maksymalne SPL: 132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14:paraId="75FFAE82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Pokrycie (poziom x pion): 90° x 50°</w:t>
            </w:r>
          </w:p>
          <w:p w14:paraId="6CD6A92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Moc wzmacniacza: 1000 W</w:t>
            </w:r>
          </w:p>
          <w:p w14:paraId="022568F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Głośnik LF: EVS-12K, 12" (305 mm)</w:t>
            </w:r>
          </w:p>
          <w:p w14:paraId="7037723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Głośnik HF: DH-1K, tytanowy 1,5"</w:t>
            </w:r>
          </w:p>
          <w:p w14:paraId="1A25763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Częstotliwość zwrotnicy: 1,7 kHz</w:t>
            </w:r>
          </w:p>
          <w:p w14:paraId="2A34B21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Gniazda: x2 XLR/TRS Combo Jack, 1x Stereo RCA, x1 XLR link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  <w:proofErr w:type="spellEnd"/>
          </w:p>
          <w:p w14:paraId="42A0BFD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Obudowa: sklejka 15mm, wewnętrznie wzmocniona</w:t>
            </w:r>
          </w:p>
          <w:p w14:paraId="2BEDAB99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Grill: stalowy, pokryty czarną farbą proszkową</w:t>
            </w:r>
          </w:p>
          <w:p w14:paraId="57DCE16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Wymiary: 362 x 340 x 607 mm (szer. x gł. x wys.)</w:t>
            </w:r>
          </w:p>
          <w:p w14:paraId="4FBFF792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Waga: 16,8 kg</w:t>
            </w:r>
          </w:p>
        </w:tc>
        <w:tc>
          <w:tcPr>
            <w:tcW w:w="1701" w:type="dxa"/>
            <w:vAlign w:val="center"/>
          </w:tcPr>
          <w:p w14:paraId="12897D00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14:paraId="3F8D1E20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91443" w14:textId="77777777" w:rsidR="00575A56" w:rsidRPr="00C52D5F" w:rsidRDefault="00575A56" w:rsidP="00575A56">
      <w:pPr>
        <w:rPr>
          <w:rFonts w:ascii="Times New Roman" w:hAnsi="Times New Roman" w:cs="Times New Roman"/>
          <w:sz w:val="20"/>
          <w:szCs w:val="20"/>
        </w:rPr>
      </w:pPr>
    </w:p>
    <w:p w14:paraId="2A9DF6AD" w14:textId="77777777" w:rsidR="00171048" w:rsidRPr="00C261DC" w:rsidRDefault="00171048" w:rsidP="001710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090D26B7" w14:textId="77777777" w:rsidR="00171048" w:rsidRPr="00C261DC" w:rsidRDefault="00171048" w:rsidP="001710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1EE8738F" w14:textId="77777777" w:rsidR="00575A56" w:rsidRDefault="00575A56" w:rsidP="00575A56">
      <w:pPr>
        <w:rPr>
          <w:rFonts w:ascii="Times New Roman" w:hAnsi="Times New Roman" w:cs="Times New Roman"/>
          <w:sz w:val="20"/>
          <w:szCs w:val="20"/>
        </w:rPr>
      </w:pPr>
    </w:p>
    <w:p w14:paraId="2E857538" w14:textId="77777777" w:rsidR="00B87ED4" w:rsidRDefault="00B87ED4"/>
    <w:sectPr w:rsidR="00B87ED4" w:rsidSect="00575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17FC"/>
    <w:multiLevelType w:val="hybridMultilevel"/>
    <w:tmpl w:val="B688233C"/>
    <w:lvl w:ilvl="0" w:tplc="791A4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7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7"/>
    <w:rsid w:val="000266E5"/>
    <w:rsid w:val="00171048"/>
    <w:rsid w:val="00213B6D"/>
    <w:rsid w:val="00575A56"/>
    <w:rsid w:val="007077BB"/>
    <w:rsid w:val="00B87ED4"/>
    <w:rsid w:val="00E06895"/>
    <w:rsid w:val="00E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ACBF"/>
  <w15:chartTrackingRefBased/>
  <w15:docId w15:val="{0DFA5020-47A0-4EE5-8ED8-F36F9A2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575A5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575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710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82A7-B992-407F-BB8D-68008BF8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4</cp:revision>
  <dcterms:created xsi:type="dcterms:W3CDTF">2022-07-06T10:54:00Z</dcterms:created>
  <dcterms:modified xsi:type="dcterms:W3CDTF">2022-09-20T09:03:00Z</dcterms:modified>
</cp:coreProperties>
</file>