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ul. M. </w:t>
      </w:r>
      <w:proofErr w:type="spellStart"/>
      <w:r w:rsidRPr="003F0708">
        <w:rPr>
          <w:rFonts w:ascii="Arial" w:hAnsi="Arial" w:cs="Arial"/>
          <w:color w:val="333333"/>
          <w:sz w:val="24"/>
          <w:szCs w:val="24"/>
        </w:rPr>
        <w:t>Golisza</w:t>
      </w:r>
      <w:proofErr w:type="spellEnd"/>
      <w:r w:rsidRPr="003F0708">
        <w:rPr>
          <w:rFonts w:ascii="Arial" w:hAnsi="Arial" w:cs="Arial"/>
          <w:color w:val="333333"/>
          <w:sz w:val="24"/>
          <w:szCs w:val="24"/>
        </w:rPr>
        <w:t xml:space="preserve">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185336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47EE5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958399A" w14:textId="5C39F0AC" w:rsidR="00354420" w:rsidRPr="00647EE5" w:rsidRDefault="00647EE5" w:rsidP="00647EE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Pr="00647EE5">
        <w:rPr>
          <w:rFonts w:ascii="Arial" w:hAnsi="Arial" w:cs="Arial"/>
          <w:b/>
          <w:sz w:val="24"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06C2B7C6" w14:textId="58D50D66" w:rsidR="008C6933" w:rsidRPr="003F0708" w:rsidRDefault="008C6933" w:rsidP="003F070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686A51EF" w14:textId="77777777" w:rsidR="003F0708" w:rsidRPr="003F0708" w:rsidRDefault="003F0708" w:rsidP="003F0708">
      <w:pPr>
        <w:shd w:val="clear" w:color="auto" w:fill="FFFFFF"/>
        <w:spacing w:before="80"/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|5|0|</w:t>
      </w:r>
      <w:r w:rsidRPr="003F0708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|5|3|.|</w:t>
      </w:r>
      <w:r w:rsidRPr="003F0708">
        <w:rPr>
          <w:rFonts w:ascii="Arial" w:hAnsi="Arial" w:cs="Arial"/>
          <w:color w:val="000000"/>
          <w:w w:val="110"/>
          <w:sz w:val="22"/>
          <w:szCs w:val="22"/>
        </w:rPr>
        <w:t>2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|3|.|0|0|-|6| - Usługi w zakresie napraw i konserwacji generatorów</w:t>
      </w:r>
    </w:p>
    <w:p w14:paraId="1DD6FBEA" w14:textId="550E586C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3F0708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3F0708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42CAD2FD" w:rsidR="002A7D62" w:rsidRDefault="002A7D6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A0D086D" w14:textId="6109399A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9F3BA76" w14:textId="564521D3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77777777" w:rsidR="003F0708" w:rsidRP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5896E78D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 xml:space="preserve"> ze zm.),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466C7B4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3</w:t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46080FD8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4</w:t>
      </w:r>
      <w:r w:rsidRPr="006A4C13">
        <w:rPr>
          <w:rFonts w:ascii="Arial" w:hAnsi="Arial" w:cs="Arial"/>
          <w:bCs/>
          <w:sz w:val="24"/>
          <w:szCs w:val="24"/>
        </w:rPr>
        <w:tab/>
        <w:t>wykaz usług</w:t>
      </w:r>
    </w:p>
    <w:p w14:paraId="3E54A7F0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5</w:t>
      </w:r>
      <w:r w:rsidRPr="006A4C13">
        <w:rPr>
          <w:rFonts w:ascii="Arial" w:hAnsi="Arial" w:cs="Arial"/>
          <w:bCs/>
          <w:sz w:val="24"/>
          <w:szCs w:val="24"/>
        </w:rPr>
        <w:tab/>
        <w:t>wykaz osób</w:t>
      </w:r>
    </w:p>
    <w:p w14:paraId="50BB6D31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6</w:t>
      </w:r>
      <w:r w:rsidRPr="006A4C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158C3D2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7</w:t>
      </w:r>
      <w:r w:rsidRPr="006A4C1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F86711A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ADE6A8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1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Golisza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69E27C2A" w14:textId="77777777" w:rsidR="003F0708" w:rsidRPr="003F0708" w:rsidRDefault="003F0708" w:rsidP="003F0708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D2A49A6" w14:textId="65A3D4FE" w:rsidR="00647EE5" w:rsidRPr="00647EE5" w:rsidRDefault="003F0708" w:rsidP="00647EE5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77777777" w:rsidR="00647EE5" w:rsidRPr="00647EE5" w:rsidRDefault="00647EE5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6C68909" w14:textId="77777777" w:rsidR="00647EE5" w:rsidRPr="00205F62" w:rsidRDefault="00647EE5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77777777" w:rsidR="003F0708" w:rsidRPr="003F0708" w:rsidRDefault="003F0708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0F02F5FA" w14:textId="77777777" w:rsidR="003F0708" w:rsidRPr="003F0708" w:rsidRDefault="003F0708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7FA33854" w14:textId="77777777" w:rsidR="003F0708" w:rsidRPr="003F0708" w:rsidRDefault="003F0708" w:rsidP="003F07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33B4FDC8" w14:textId="77777777" w:rsidR="003F0708" w:rsidRPr="003F0708" w:rsidRDefault="003F0708" w:rsidP="003F07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zamawiający zaprosi do negocjacji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negocjacje dotyczyć będą wyłącznie cen ofert;</w:t>
      </w:r>
    </w:p>
    <w:p w14:paraId="4178A085" w14:textId="77777777" w:rsidR="003F0708" w:rsidRPr="003F0708" w:rsidRDefault="003F0708" w:rsidP="003F07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1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3D2B9148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Sp. z o. o. dostępnym na stronie internetowej Platformy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formacie odpowiednio: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60E4E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356823A3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wykonawcami jest p. 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Agnieszka </w:t>
      </w:r>
      <w:r w:rsidR="007339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Skotnicka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tel. 91 44 26 2</w:t>
      </w:r>
      <w:r w:rsidR="007339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76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5617C79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15C4C346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38841851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3FE558FD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5C93C32A" w14:textId="77777777" w:rsidR="003F0708" w:rsidRPr="003F0708" w:rsidRDefault="003F0708" w:rsidP="003F0708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0DAE1FFB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C0DA57D" w14:textId="77777777" w:rsidR="003F0708" w:rsidRPr="003F0708" w:rsidRDefault="003F0708" w:rsidP="003F0708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administratorem danych osobowych jest: Zakład Wodociągów i Kanalizacji Sp. z o.o. w Szczecinie, ul. M. </w:t>
      </w:r>
      <w:proofErr w:type="spellStart"/>
      <w:r w:rsidRPr="003F0708">
        <w:rPr>
          <w:rFonts w:ascii="Arial" w:hAnsi="Arial" w:cs="Arial"/>
          <w:color w:val="000000" w:themeColor="text1"/>
        </w:rPr>
        <w:t>Golisza</w:t>
      </w:r>
      <w:proofErr w:type="spellEnd"/>
      <w:r w:rsidRPr="003F0708">
        <w:rPr>
          <w:rFonts w:ascii="Arial" w:hAnsi="Arial" w:cs="Arial"/>
          <w:color w:val="000000" w:themeColor="text1"/>
        </w:rPr>
        <w:t xml:space="preserve"> 10, 71-682 Szczecin</w:t>
      </w:r>
    </w:p>
    <w:p w14:paraId="3F0AB629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18FB147F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34DF831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11376883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15B1350C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4A4CBD77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7D0D493B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1BF55D2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244C16A8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160DFBCF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3181F756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61FA6E7D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F6D9FDA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oferty.</w:t>
      </w:r>
    </w:p>
    <w:p w14:paraId="0B9A645C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77777777" w:rsidR="003F0708" w:rsidRP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7777777" w:rsidR="003F0708" w:rsidRPr="003F0708" w:rsidRDefault="003F0708" w:rsidP="003F0708">
      <w:pPr>
        <w:numPr>
          <w:ilvl w:val="0"/>
          <w:numId w:val="30"/>
        </w:numPr>
        <w:spacing w:after="160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0E340BFA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                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3067F4C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               o których mowa w </w:t>
      </w:r>
      <w:hyperlink r:id="rId28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B2432E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66C2F9C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0F42F9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470BBD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z dnia 13 kwietnia 2022 r. o szczególnych rozwiązaniach w zakresie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przeciwdziałania wspieraniu agresji na Ukrainę oraz służących ochronie bezpieczeństwa narodowego;</w:t>
      </w:r>
    </w:p>
    <w:p w14:paraId="1004F299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77777777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D0D469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1B283BF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191EC64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F0708" w:rsidRDefault="0060016F" w:rsidP="003F0708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3F0708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3F0708" w:rsidRDefault="006F7511" w:rsidP="003F070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3F0708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3F070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3F0708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3F0708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3F0708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3F0708" w:rsidRDefault="006F7511" w:rsidP="003F070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3F0708" w:rsidRDefault="006F7511" w:rsidP="003F0708">
      <w:pPr>
        <w:tabs>
          <w:tab w:val="left" w:pos="567"/>
        </w:tabs>
        <w:ind w:left="851"/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3F0708">
        <w:rPr>
          <w:rFonts w:ascii="Arial" w:hAnsi="Arial" w:cs="Arial"/>
          <w:iCs/>
          <w:sz w:val="24"/>
          <w:szCs w:val="24"/>
        </w:rPr>
        <w:t>:</w:t>
      </w:r>
    </w:p>
    <w:p w14:paraId="676D8F5F" w14:textId="7541DF09" w:rsidR="00354420" w:rsidRPr="003F0708" w:rsidRDefault="003B653E" w:rsidP="003F0708">
      <w:pPr>
        <w:pStyle w:val="Akapitzlist"/>
        <w:numPr>
          <w:ilvl w:val="3"/>
          <w:numId w:val="3"/>
        </w:numPr>
        <w:tabs>
          <w:tab w:val="left" w:pos="567"/>
        </w:tabs>
        <w:spacing w:line="240" w:lineRule="auto"/>
        <w:ind w:left="1418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ykonał należycie w okresie ostatnich </w:t>
      </w:r>
      <w:r w:rsidR="00354420" w:rsidRPr="003F0708">
        <w:rPr>
          <w:rFonts w:ascii="Arial" w:hAnsi="Arial" w:cs="Arial"/>
          <w:b/>
          <w:sz w:val="24"/>
          <w:szCs w:val="24"/>
        </w:rPr>
        <w:t xml:space="preserve">trzech </w:t>
      </w:r>
      <w:r w:rsidRPr="003F0708">
        <w:rPr>
          <w:rFonts w:ascii="Arial" w:hAnsi="Arial" w:cs="Arial"/>
          <w:b/>
          <w:sz w:val="24"/>
          <w:szCs w:val="24"/>
        </w:rPr>
        <w:t>lat</w:t>
      </w:r>
      <w:r w:rsidRPr="003F0708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</w:t>
      </w:r>
      <w:r w:rsidRPr="003F0708">
        <w:rPr>
          <w:rFonts w:ascii="Arial" w:hAnsi="Arial" w:cs="Arial"/>
          <w:sz w:val="24"/>
          <w:szCs w:val="24"/>
        </w:rPr>
        <w:lastRenderedPageBreak/>
        <w:t>tym okresie, minimum trzy usługi</w:t>
      </w:r>
      <w:r w:rsidR="007339E0">
        <w:rPr>
          <w:rFonts w:ascii="Arial" w:hAnsi="Arial" w:cs="Arial"/>
          <w:sz w:val="24"/>
          <w:szCs w:val="24"/>
        </w:rPr>
        <w:t xml:space="preserve"> polegające na okresowym serwisie obejmującym przeglądy i naprawy a</w:t>
      </w:r>
      <w:r w:rsidR="00937F16">
        <w:rPr>
          <w:rFonts w:ascii="Arial" w:hAnsi="Arial" w:cs="Arial"/>
          <w:sz w:val="24"/>
          <w:szCs w:val="24"/>
        </w:rPr>
        <w:t>g</w:t>
      </w:r>
      <w:r w:rsidR="007339E0">
        <w:rPr>
          <w:rFonts w:ascii="Arial" w:hAnsi="Arial" w:cs="Arial"/>
          <w:sz w:val="24"/>
          <w:szCs w:val="24"/>
        </w:rPr>
        <w:t>regatów prądotwórczyc</w:t>
      </w:r>
      <w:r w:rsidR="00937F16">
        <w:rPr>
          <w:rFonts w:ascii="Arial" w:hAnsi="Arial" w:cs="Arial"/>
          <w:sz w:val="24"/>
          <w:szCs w:val="24"/>
        </w:rPr>
        <w:t>h</w:t>
      </w:r>
      <w:r w:rsidR="007339E0">
        <w:rPr>
          <w:rFonts w:ascii="Arial" w:hAnsi="Arial" w:cs="Arial"/>
          <w:sz w:val="24"/>
          <w:szCs w:val="24"/>
        </w:rPr>
        <w:t xml:space="preserve"> realizowanym sukcesywnie przez okres 12 miesięcy</w:t>
      </w:r>
      <w:r w:rsidR="00354420" w:rsidRPr="003F0708">
        <w:rPr>
          <w:rFonts w:ascii="Arial" w:hAnsi="Arial" w:cs="Arial"/>
          <w:sz w:val="24"/>
          <w:szCs w:val="24"/>
        </w:rPr>
        <w:t>,</w:t>
      </w:r>
      <w:r w:rsidRPr="003F0708">
        <w:rPr>
          <w:rFonts w:ascii="Arial" w:hAnsi="Arial" w:cs="Arial"/>
          <w:sz w:val="24"/>
          <w:szCs w:val="24"/>
        </w:rPr>
        <w:t xml:space="preserve"> o wartości każdej usługi nie mniejszej niż</w:t>
      </w:r>
      <w:r w:rsidR="00B7209F">
        <w:rPr>
          <w:rFonts w:ascii="Arial" w:hAnsi="Arial" w:cs="Arial"/>
          <w:sz w:val="24"/>
          <w:szCs w:val="24"/>
        </w:rPr>
        <w:t xml:space="preserve"> </w:t>
      </w:r>
      <w:r w:rsidR="00354420" w:rsidRPr="003F0708">
        <w:rPr>
          <w:rFonts w:ascii="Arial" w:hAnsi="Arial" w:cs="Arial"/>
          <w:b/>
          <w:sz w:val="24"/>
          <w:szCs w:val="24"/>
        </w:rPr>
        <w:t>1</w:t>
      </w:r>
      <w:r w:rsidRPr="003F0708">
        <w:rPr>
          <w:rFonts w:ascii="Arial" w:hAnsi="Arial" w:cs="Arial"/>
          <w:b/>
          <w:sz w:val="24"/>
          <w:szCs w:val="24"/>
        </w:rPr>
        <w:t xml:space="preserve">0 000,00 zł </w:t>
      </w:r>
      <w:r w:rsidR="009D70E7">
        <w:rPr>
          <w:rFonts w:ascii="Arial" w:hAnsi="Arial" w:cs="Arial"/>
          <w:b/>
          <w:sz w:val="24"/>
          <w:szCs w:val="24"/>
        </w:rPr>
        <w:t>ne</w:t>
      </w:r>
      <w:r w:rsidR="00B7209F">
        <w:rPr>
          <w:rFonts w:ascii="Arial" w:hAnsi="Arial" w:cs="Arial"/>
          <w:b/>
          <w:sz w:val="24"/>
          <w:szCs w:val="24"/>
        </w:rPr>
        <w:t>tto</w:t>
      </w:r>
      <w:r w:rsidRPr="003F0708">
        <w:rPr>
          <w:rFonts w:ascii="Arial" w:hAnsi="Arial" w:cs="Arial"/>
          <w:b/>
          <w:sz w:val="24"/>
          <w:szCs w:val="24"/>
        </w:rPr>
        <w:t xml:space="preserve"> każda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F991E12" w14:textId="147C8AB1" w:rsidR="00354420" w:rsidRPr="003F0708" w:rsidRDefault="00354420" w:rsidP="003F0708">
      <w:pPr>
        <w:pStyle w:val="Akapitzlist"/>
        <w:numPr>
          <w:ilvl w:val="3"/>
          <w:numId w:val="3"/>
        </w:numPr>
        <w:tabs>
          <w:tab w:val="left" w:pos="567"/>
        </w:tabs>
        <w:spacing w:line="240" w:lineRule="auto"/>
        <w:ind w:left="1418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dysponuje </w:t>
      </w:r>
      <w:r w:rsidR="0001198E">
        <w:rPr>
          <w:rFonts w:ascii="Arial" w:hAnsi="Arial" w:cs="Arial"/>
          <w:sz w:val="24"/>
          <w:szCs w:val="24"/>
        </w:rPr>
        <w:t xml:space="preserve">lub będzie dysponował </w:t>
      </w:r>
      <w:r w:rsidRPr="003F0708">
        <w:rPr>
          <w:rFonts w:ascii="Arial" w:hAnsi="Arial" w:cs="Arial"/>
          <w:sz w:val="24"/>
          <w:szCs w:val="24"/>
        </w:rPr>
        <w:t>co najmniej j</w:t>
      </w:r>
      <w:r w:rsidR="00937F16">
        <w:rPr>
          <w:rFonts w:ascii="Arial" w:hAnsi="Arial" w:cs="Arial"/>
          <w:sz w:val="24"/>
          <w:szCs w:val="24"/>
        </w:rPr>
        <w:t xml:space="preserve">edną osobą </w:t>
      </w:r>
      <w:r w:rsidRPr="003F0708">
        <w:rPr>
          <w:rFonts w:ascii="Arial" w:hAnsi="Arial" w:cs="Arial"/>
          <w:sz w:val="24"/>
          <w:szCs w:val="24"/>
        </w:rPr>
        <w:t>posiadając</w:t>
      </w:r>
      <w:r w:rsidR="00937F16">
        <w:rPr>
          <w:rFonts w:ascii="Arial" w:hAnsi="Arial" w:cs="Arial"/>
          <w:sz w:val="24"/>
          <w:szCs w:val="24"/>
        </w:rPr>
        <w:t>ą</w:t>
      </w:r>
      <w:r w:rsidRPr="003F0708">
        <w:rPr>
          <w:rFonts w:ascii="Arial" w:hAnsi="Arial" w:cs="Arial"/>
          <w:sz w:val="24"/>
          <w:szCs w:val="24"/>
        </w:rPr>
        <w:t xml:space="preserve"> </w:t>
      </w:r>
      <w:r w:rsidR="00937F16">
        <w:rPr>
          <w:rFonts w:ascii="Arial" w:hAnsi="Arial" w:cs="Arial"/>
          <w:sz w:val="24"/>
          <w:szCs w:val="24"/>
        </w:rPr>
        <w:t>uprawnienia</w:t>
      </w:r>
      <w:r w:rsidRPr="003F0708">
        <w:rPr>
          <w:rFonts w:ascii="Arial" w:hAnsi="Arial" w:cs="Arial"/>
          <w:sz w:val="24"/>
          <w:szCs w:val="24"/>
        </w:rPr>
        <w:t xml:space="preserve"> kwalifikacyjne</w:t>
      </w:r>
      <w:r w:rsidR="00937F16">
        <w:rPr>
          <w:rFonts w:ascii="Arial" w:hAnsi="Arial" w:cs="Arial"/>
          <w:sz w:val="24"/>
          <w:szCs w:val="24"/>
        </w:rPr>
        <w:t xml:space="preserve"> do zajmowania się eksploatacją urządzeń, instalacji i sieci elektroenergetycznych grupy 1 w zakresie obsługi, konserwacji, remontów, montażu, kontrolno-pomiarowym na stanowisku eksploatacji i dozoru dla następujących urządzeń, instalacji i sieci</w:t>
      </w:r>
      <w:r w:rsidRPr="003F0708">
        <w:rPr>
          <w:rFonts w:ascii="Arial" w:hAnsi="Arial" w:cs="Arial"/>
          <w:sz w:val="24"/>
          <w:szCs w:val="24"/>
        </w:rPr>
        <w:t xml:space="preserve">, wydane przez komisję kwalifikacyjną, zgodnie z ustawą Prawo energetyczne i rozporządzeniem ministra właściwego do spraw gospodarki, potwierdzające spełnienie wymagań do prowadzenia prac na stanowisku eksploatacji w zakresie obsługi, konserwacji, remontów, montażu, kontrolno-pomiarowym dla następujących urządzeń, instalacji </w:t>
      </w:r>
      <w:r w:rsidR="00604195" w:rsidRPr="003F0708">
        <w:rPr>
          <w:rFonts w:ascii="Arial" w:hAnsi="Arial" w:cs="Arial"/>
          <w:sz w:val="24"/>
          <w:szCs w:val="24"/>
        </w:rPr>
        <w:t xml:space="preserve">    </w:t>
      </w:r>
      <w:r w:rsidRPr="003F0708">
        <w:rPr>
          <w:rFonts w:ascii="Arial" w:hAnsi="Arial" w:cs="Arial"/>
          <w:sz w:val="24"/>
          <w:szCs w:val="24"/>
        </w:rPr>
        <w:t>i sieci:</w:t>
      </w:r>
    </w:p>
    <w:p w14:paraId="6741EA35" w14:textId="4191CBC3" w:rsidR="00604195" w:rsidRPr="00937F16" w:rsidRDefault="00354420" w:rsidP="00937F16">
      <w:pPr>
        <w:pStyle w:val="Akapitzlist"/>
        <w:tabs>
          <w:tab w:val="left" w:pos="1701"/>
        </w:tabs>
        <w:spacing w:line="240" w:lineRule="auto"/>
        <w:ind w:left="1475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</w:t>
      </w:r>
      <w:r w:rsidRPr="003F0708">
        <w:rPr>
          <w:rFonts w:ascii="Arial" w:hAnsi="Arial" w:cs="Arial"/>
          <w:sz w:val="24"/>
          <w:szCs w:val="24"/>
        </w:rPr>
        <w:tab/>
        <w:t xml:space="preserve">urządzenia, instalacje i sieci elektroenergetyczne o napięciu nie wyższym niż 1 </w:t>
      </w:r>
      <w:proofErr w:type="spellStart"/>
      <w:r w:rsidRPr="003F0708">
        <w:rPr>
          <w:rFonts w:ascii="Arial" w:hAnsi="Arial" w:cs="Arial"/>
          <w:sz w:val="24"/>
          <w:szCs w:val="24"/>
        </w:rPr>
        <w:t>kV</w:t>
      </w:r>
      <w:proofErr w:type="spellEnd"/>
      <w:r w:rsidRPr="003F0708">
        <w:rPr>
          <w:rFonts w:ascii="Arial" w:hAnsi="Arial" w:cs="Arial"/>
          <w:sz w:val="24"/>
          <w:szCs w:val="24"/>
        </w:rPr>
        <w:t>,</w:t>
      </w:r>
    </w:p>
    <w:p w14:paraId="300BD583" w14:textId="4B983033" w:rsidR="00354420" w:rsidRDefault="00354420" w:rsidP="003F0708">
      <w:pPr>
        <w:pStyle w:val="Akapitzlist"/>
        <w:tabs>
          <w:tab w:val="left" w:pos="1701"/>
        </w:tabs>
        <w:spacing w:line="240" w:lineRule="auto"/>
        <w:ind w:left="1475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</w:t>
      </w:r>
      <w:r w:rsidRPr="003F0708">
        <w:rPr>
          <w:rFonts w:ascii="Arial" w:hAnsi="Arial" w:cs="Arial"/>
          <w:sz w:val="24"/>
          <w:szCs w:val="24"/>
        </w:rPr>
        <w:tab/>
        <w:t>zespoły prądotwórcze o mocy powyżej 50 kW</w:t>
      </w:r>
    </w:p>
    <w:p w14:paraId="287E0512" w14:textId="1BA0AF0E" w:rsidR="00937F16" w:rsidRPr="003F0708" w:rsidRDefault="00937F16" w:rsidP="003F0708">
      <w:pPr>
        <w:pStyle w:val="Akapitzlist"/>
        <w:tabs>
          <w:tab w:val="left" w:pos="1701"/>
        </w:tabs>
        <w:spacing w:line="240" w:lineRule="auto"/>
        <w:ind w:left="147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68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aparaturę kontrolnopomiarową oraz urządzenia i instalacje automatycznej regulacji</w:t>
      </w:r>
      <w:r w:rsidR="00096855">
        <w:rPr>
          <w:rFonts w:ascii="Arial" w:hAnsi="Arial" w:cs="Arial"/>
          <w:sz w:val="24"/>
          <w:szCs w:val="24"/>
        </w:rPr>
        <w:t>, sterowania i zabezpieczeń do ww. urządzeń</w:t>
      </w:r>
    </w:p>
    <w:p w14:paraId="58E4F26C" w14:textId="77777777" w:rsidR="00036B01" w:rsidRPr="003F0708" w:rsidRDefault="00036B01" w:rsidP="003F0708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3252F6A9" w14:textId="0B33CEA7" w:rsidR="00C026E3" w:rsidRPr="003F0708" w:rsidRDefault="00C026E3" w:rsidP="003F0708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1D0CEB6F" w:rsidR="00AD268B" w:rsidRDefault="007339E0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Zamawiający nie dopuszcza udzia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>łu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podwykonawców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 xml:space="preserve"> przy realizacji zamówienia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3B0CBCE" w14:textId="77777777" w:rsidR="008F5D41" w:rsidRPr="003A26CB" w:rsidRDefault="008F5D41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F0708" w:rsidRDefault="0060016F" w:rsidP="003F0708">
      <w:pPr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3F0708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F0708">
        <w:rPr>
          <w:rFonts w:ascii="Arial" w:hAnsi="Arial" w:cs="Arial"/>
          <w:b/>
          <w:sz w:val="24"/>
          <w:szCs w:val="24"/>
        </w:rPr>
        <w:t>termi</w:t>
      </w:r>
      <w:r w:rsidR="00444E2C" w:rsidRPr="003F0708">
        <w:rPr>
          <w:rFonts w:ascii="Arial" w:hAnsi="Arial" w:cs="Arial"/>
          <w:b/>
          <w:sz w:val="24"/>
          <w:szCs w:val="24"/>
        </w:rPr>
        <w:t>nu</w:t>
      </w:r>
      <w:r w:rsidR="0061169A" w:rsidRPr="003F0708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F0708" w:rsidRDefault="00827166" w:rsidP="003F0708">
      <w:pPr>
        <w:ind w:left="709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3F0708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F0708" w:rsidRDefault="00E123F8" w:rsidP="003F0708">
      <w:pPr>
        <w:pStyle w:val="Akapitzlist"/>
        <w:spacing w:after="0" w:line="240" w:lineRule="auto"/>
        <w:ind w:left="709" w:hanging="1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F0708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F0708">
        <w:rPr>
          <w:rFonts w:ascii="Arial" w:hAnsi="Arial" w:cs="Arial"/>
          <w:b/>
          <w:sz w:val="24"/>
          <w:szCs w:val="24"/>
        </w:rPr>
        <w:t xml:space="preserve"> w postępowaniu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3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;</w:t>
      </w:r>
    </w:p>
    <w:p w14:paraId="5DF29719" w14:textId="0178D757" w:rsidR="0060016F" w:rsidRPr="003F0708" w:rsidRDefault="00E123F8" w:rsidP="003F0708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 w:rsidRPr="003F0708">
        <w:rPr>
          <w:rFonts w:ascii="Arial" w:hAnsi="Arial" w:cs="Arial"/>
          <w:sz w:val="24"/>
          <w:szCs w:val="24"/>
          <w:u w:val="single"/>
        </w:rPr>
        <w:br/>
      </w:r>
      <w:r w:rsidR="002A0CAF" w:rsidRPr="003F0708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12D46692" w14:textId="77777777" w:rsidR="00151806" w:rsidRPr="003F0708" w:rsidRDefault="00151806" w:rsidP="003F0708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3F0708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6C49B33F" w:rsidR="0060016F" w:rsidRPr="003F0708" w:rsidRDefault="0060016F" w:rsidP="003F0708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F0708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3F0708">
        <w:rPr>
          <w:rFonts w:ascii="Arial" w:hAnsi="Arial" w:cs="Arial"/>
          <w:b/>
          <w:sz w:val="24"/>
          <w:szCs w:val="24"/>
          <w:u w:val="single"/>
        </w:rPr>
        <w:t xml:space="preserve">, którego oferta </w:t>
      </w:r>
      <w:r w:rsidR="00B125C6" w:rsidRPr="003F070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została najwyżej oceniona 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3F0708">
        <w:rPr>
          <w:rFonts w:ascii="Arial" w:hAnsi="Arial" w:cs="Arial"/>
          <w:b/>
          <w:sz w:val="24"/>
          <w:szCs w:val="24"/>
          <w:u w:val="single"/>
        </w:rPr>
        <w:t>:</w:t>
      </w:r>
    </w:p>
    <w:p w14:paraId="49BF0F98" w14:textId="37782A27" w:rsidR="00004372" w:rsidRPr="003F0708" w:rsidRDefault="00004372" w:rsidP="003F0708">
      <w:pPr>
        <w:numPr>
          <w:ilvl w:val="1"/>
          <w:numId w:val="28"/>
        </w:numPr>
        <w:tabs>
          <w:tab w:val="clear" w:pos="786"/>
        </w:tabs>
        <w:ind w:left="709" w:hanging="425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2.4) SWZ należy złożyć:</w:t>
      </w:r>
    </w:p>
    <w:p w14:paraId="5C043ADF" w14:textId="347E3659" w:rsidR="003B653E" w:rsidRPr="003F0708" w:rsidRDefault="003B653E" w:rsidP="003F0708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b/>
          <w:i/>
          <w:iCs/>
          <w:sz w:val="24"/>
          <w:szCs w:val="24"/>
        </w:rPr>
        <w:t xml:space="preserve">wykaz </w:t>
      </w:r>
      <w:r w:rsidRPr="00B7209F">
        <w:rPr>
          <w:rFonts w:ascii="Arial" w:hAnsi="Arial" w:cs="Arial"/>
          <w:b/>
          <w:i/>
          <w:iCs/>
          <w:sz w:val="24"/>
          <w:szCs w:val="24"/>
        </w:rPr>
        <w:t xml:space="preserve">usług </w:t>
      </w:r>
      <w:r w:rsidR="00B7209F" w:rsidRPr="00B7209F">
        <w:rPr>
          <w:rFonts w:ascii="Arial" w:hAnsi="Arial" w:cs="Arial"/>
          <w:b/>
          <w:i/>
          <w:iCs/>
          <w:sz w:val="24"/>
          <w:szCs w:val="24"/>
        </w:rPr>
        <w:t>(</w:t>
      </w:r>
      <w:r w:rsidR="00B7209F" w:rsidRPr="00B7209F">
        <w:rPr>
          <w:rFonts w:ascii="Arial" w:hAnsi="Arial" w:cs="Arial"/>
          <w:b/>
          <w:sz w:val="24"/>
          <w:szCs w:val="24"/>
        </w:rPr>
        <w:t xml:space="preserve">wg wzoru stanowiącego załącznik nr </w:t>
      </w:r>
      <w:r w:rsidR="006A4C13">
        <w:rPr>
          <w:rFonts w:ascii="Arial" w:hAnsi="Arial" w:cs="Arial"/>
          <w:b/>
          <w:sz w:val="24"/>
          <w:szCs w:val="24"/>
        </w:rPr>
        <w:t>4</w:t>
      </w:r>
      <w:r w:rsidR="00B7209F" w:rsidRPr="00B7209F">
        <w:rPr>
          <w:rFonts w:ascii="Arial" w:hAnsi="Arial" w:cs="Arial"/>
          <w:b/>
          <w:sz w:val="24"/>
          <w:szCs w:val="24"/>
        </w:rPr>
        <w:t xml:space="preserve"> do SWZ)</w:t>
      </w:r>
      <w:r w:rsidR="00B7209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3F0708">
        <w:rPr>
          <w:rFonts w:ascii="Arial" w:hAnsi="Arial" w:cs="Arial"/>
          <w:i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604195" w:rsidRPr="003F0708">
        <w:rPr>
          <w:rFonts w:ascii="Arial" w:hAnsi="Arial" w:cs="Arial"/>
          <w:i/>
          <w:iCs/>
          <w:sz w:val="24"/>
          <w:szCs w:val="24"/>
        </w:rPr>
        <w:t>3</w:t>
      </w:r>
      <w:r w:rsidRPr="003F0708">
        <w:rPr>
          <w:rFonts w:ascii="Arial" w:hAnsi="Arial" w:cs="Arial"/>
          <w:i/>
          <w:iCs/>
          <w:sz w:val="24"/>
          <w:szCs w:val="24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 ;</w:t>
      </w:r>
    </w:p>
    <w:p w14:paraId="761E87C1" w14:textId="77777777" w:rsidR="00185336" w:rsidRDefault="00604195" w:rsidP="00185336">
      <w:pPr>
        <w:pStyle w:val="Akapitzlist"/>
        <w:spacing w:line="240" w:lineRule="auto"/>
        <w:ind w:left="105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0A660E9D" w14:textId="46A345F9" w:rsidR="00185336" w:rsidRPr="00185336" w:rsidRDefault="00185336" w:rsidP="00185336">
      <w:pPr>
        <w:pStyle w:val="Akapitzlist"/>
        <w:numPr>
          <w:ilvl w:val="3"/>
          <w:numId w:val="28"/>
        </w:numPr>
        <w:spacing w:after="0" w:line="24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533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 (</w:t>
      </w:r>
      <w:r w:rsidRPr="00185336">
        <w:rPr>
          <w:rFonts w:ascii="Arial" w:hAnsi="Arial" w:cs="Arial"/>
          <w:b/>
          <w:bCs/>
          <w:sz w:val="24"/>
          <w:szCs w:val="24"/>
        </w:rPr>
        <w:t>wg wzoru stanowiącego załącznik nr 5 do SWZ)</w:t>
      </w:r>
      <w:r w:rsidRPr="0018533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185336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</w:t>
      </w:r>
      <w:r w:rsidRPr="00185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85336">
        <w:rPr>
          <w:rFonts w:ascii="Arial" w:hAnsi="Arial" w:cs="Arial"/>
          <w:sz w:val="24"/>
          <w:szCs w:val="24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4D42D245" w14:textId="38500882" w:rsidR="00604195" w:rsidRPr="00185336" w:rsidRDefault="00604195" w:rsidP="00185336">
      <w:pPr>
        <w:ind w:left="1134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4" w:name="_Hlk106954197"/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  <w:bookmarkStart w:id="5" w:name="_GoBack"/>
      <w:bookmarkEnd w:id="4"/>
      <w:bookmarkEnd w:id="5"/>
    </w:p>
    <w:p w14:paraId="73B1E7B9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9D0B62F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 xml:space="preserve">Wykonawca składa podmiotowe środki dowodowe (jeśli wymagano), na wezwanie, o którym mowa w pkt </w:t>
      </w:r>
      <w:r w:rsidR="00D06675" w:rsidRPr="003F0708">
        <w:rPr>
          <w:rFonts w:ascii="Arial" w:hAnsi="Arial" w:cs="Arial"/>
          <w:sz w:val="24"/>
          <w:szCs w:val="24"/>
        </w:rPr>
        <w:t>4</w:t>
      </w:r>
      <w:r w:rsidRPr="003F0708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3F0708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3F0708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3F0708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3F0708" w:rsidRDefault="001E32B7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D652276" w14:textId="77777777" w:rsidR="009D70E7" w:rsidRDefault="009D70E7" w:rsidP="009D70E7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3F0708" w:rsidRDefault="001E32B7" w:rsidP="003F0708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6E8E7DDD" w:rsidR="004943E9" w:rsidRPr="00866E69" w:rsidRDefault="004943E9" w:rsidP="00866E6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zamówienia:</w:t>
      </w:r>
      <w:r w:rsidR="00866E69" w:rsidRPr="00866E69">
        <w:rPr>
          <w:rFonts w:ascii="Arial" w:hAnsi="Arial" w:cs="Arial"/>
          <w:b/>
          <w:sz w:val="24"/>
          <w:szCs w:val="24"/>
        </w:rPr>
        <w:t xml:space="preserve"> </w:t>
      </w:r>
      <w:r w:rsidR="00866E69" w:rsidRPr="00866E69">
        <w:rPr>
          <w:rFonts w:ascii="Arial" w:hAnsi="Arial" w:cs="Arial"/>
          <w:sz w:val="24"/>
          <w:szCs w:val="24"/>
        </w:rPr>
        <w:t>24 miesi</w:t>
      </w:r>
      <w:r w:rsidR="00866E69">
        <w:rPr>
          <w:rFonts w:ascii="Arial" w:hAnsi="Arial" w:cs="Arial"/>
          <w:sz w:val="24"/>
          <w:szCs w:val="24"/>
        </w:rPr>
        <w:t>ące</w:t>
      </w:r>
      <w:r w:rsidR="00866E69" w:rsidRPr="00866E69">
        <w:rPr>
          <w:rFonts w:ascii="Arial" w:hAnsi="Arial" w:cs="Arial"/>
          <w:sz w:val="24"/>
          <w:szCs w:val="24"/>
        </w:rPr>
        <w:t xml:space="preserve"> licząc od daty zawarcia umowy.</w:t>
      </w:r>
    </w:p>
    <w:p w14:paraId="56A19BC9" w14:textId="139336C1" w:rsidR="0060016F" w:rsidRDefault="0060016F" w:rsidP="003F0708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796F04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</w:t>
      </w:r>
      <w:r w:rsidR="00796F04" w:rsidRPr="003F0708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i </w:t>
      </w:r>
      <w:r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872BAF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3E7A90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>6</w:t>
      </w:r>
      <w:r w:rsidR="00872BAF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licząc od dnia odbioru końcowego przedmiotu zamówienia.</w:t>
      </w:r>
    </w:p>
    <w:p w14:paraId="11A84F6D" w14:textId="77777777" w:rsidR="00B7209F" w:rsidRPr="003F0708" w:rsidRDefault="00B7209F" w:rsidP="00B7209F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3F0708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3F0708">
        <w:rPr>
          <w:rFonts w:ascii="Arial" w:hAnsi="Arial" w:cs="Arial"/>
          <w:b/>
          <w:sz w:val="24"/>
          <w:szCs w:val="24"/>
        </w:rPr>
        <w:t>2</w:t>
      </w:r>
      <w:r w:rsidRPr="003F0708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3F0708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3F0708">
        <w:rPr>
          <w:rFonts w:ascii="Arial" w:hAnsi="Arial" w:cs="Arial"/>
          <w:b/>
          <w:bCs/>
          <w:sz w:val="24"/>
          <w:szCs w:val="24"/>
        </w:rPr>
        <w:t>5</w:t>
      </w:r>
      <w:r w:rsidRPr="003F0708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lastRenderedPageBreak/>
        <w:t>Zamawiający zaleca przekazywanie wniosków o wyjaśnienie treści SWZ w wersji edytowalnej.</w:t>
      </w:r>
    </w:p>
    <w:p w14:paraId="7D8D3EA0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0138833F" w:rsidR="00437850" w:rsidRPr="005A512F" w:rsidRDefault="00437850" w:rsidP="003F0708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00FC88C" w14:textId="77777777" w:rsidR="005A512F" w:rsidRPr="003F0708" w:rsidRDefault="005A512F" w:rsidP="005A512F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3373E66" w14:textId="77777777" w:rsidR="00D81146" w:rsidRPr="003F0708" w:rsidRDefault="00D81146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77777777" w:rsidR="00604195" w:rsidRPr="0076664B" w:rsidRDefault="0060016F" w:rsidP="003F0708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78E83740" w14:textId="77777777" w:rsidR="0076664B" w:rsidRPr="0076664B" w:rsidRDefault="00604195" w:rsidP="0076664B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2AA2ED41" w14:textId="77777777" w:rsidR="0076664B" w:rsidRPr="0076664B" w:rsidRDefault="0076664B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koszty ubezpieczenia OC i NNW;</w:t>
      </w:r>
    </w:p>
    <w:p w14:paraId="4729E111" w14:textId="130BDD76" w:rsidR="0076664B" w:rsidRDefault="0076664B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koszty wynagrodzenia pracowników wykonujących serwis;</w:t>
      </w:r>
    </w:p>
    <w:p w14:paraId="493BB190" w14:textId="4D6044FC" w:rsidR="005A512F" w:rsidRDefault="005A512F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dojazdu;</w:t>
      </w:r>
    </w:p>
    <w:p w14:paraId="014350CA" w14:textId="673F449F" w:rsidR="005A512F" w:rsidRPr="0076664B" w:rsidRDefault="005A512F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niezbędnych narzędzi i materiałów potrzebnych do wykonania przeglądu;</w:t>
      </w:r>
    </w:p>
    <w:p w14:paraId="5127C149" w14:textId="74C4AB19" w:rsidR="0076664B" w:rsidRPr="0076664B" w:rsidRDefault="0076664B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koszty dodatkowe.</w:t>
      </w:r>
    </w:p>
    <w:p w14:paraId="140901C1" w14:textId="77777777" w:rsidR="0060016F" w:rsidRPr="0076664B" w:rsidRDefault="0060016F" w:rsidP="003F0708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4543AEB1" w14:textId="288D99B3" w:rsidR="0060016F" w:rsidRDefault="0060016F" w:rsidP="0076664B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Cena musi być wyrażona w złotych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polskich niezależnie od wchodzących w jej skład elementów. </w:t>
      </w:r>
    </w:p>
    <w:p w14:paraId="5B4E2A30" w14:textId="77777777" w:rsidR="005A512F" w:rsidRPr="0076664B" w:rsidRDefault="005A512F" w:rsidP="005A512F">
      <w:pPr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91A619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68CCD788" w:rsidR="0060016F" w:rsidRPr="003F0708" w:rsidRDefault="0060016F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dnia </w:t>
      </w:r>
      <w:r w:rsidR="00866E69">
        <w:rPr>
          <w:rFonts w:ascii="Arial" w:hAnsi="Arial" w:cs="Arial"/>
          <w:b/>
          <w:color w:val="auto"/>
        </w:rPr>
        <w:t>1</w:t>
      </w:r>
      <w:r w:rsidR="009D70E7">
        <w:rPr>
          <w:rFonts w:ascii="Arial" w:hAnsi="Arial" w:cs="Arial"/>
          <w:b/>
          <w:color w:val="auto"/>
        </w:rPr>
        <w:t>2.12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76664B">
        <w:rPr>
          <w:rFonts w:ascii="Arial" w:hAnsi="Arial" w:cs="Arial"/>
          <w:b/>
          <w:color w:val="auto"/>
        </w:rPr>
        <w:t>4</w:t>
      </w:r>
      <w:r w:rsidR="00A2183B" w:rsidRPr="003F0708">
        <w:rPr>
          <w:rFonts w:ascii="Arial" w:hAnsi="Arial" w:cs="Arial"/>
          <w:b/>
          <w:color w:val="auto"/>
        </w:rPr>
        <w:t xml:space="preserve"> r. </w:t>
      </w:r>
      <w:r w:rsidRPr="003F0708">
        <w:rPr>
          <w:rFonts w:ascii="Arial" w:hAnsi="Arial" w:cs="Arial"/>
          <w:b/>
          <w:color w:val="auto"/>
        </w:rPr>
        <w:t xml:space="preserve">do godz. </w:t>
      </w:r>
      <w:r w:rsidR="002F3058" w:rsidRPr="003F0708">
        <w:rPr>
          <w:rFonts w:ascii="Arial" w:hAnsi="Arial" w:cs="Arial"/>
          <w:b/>
          <w:color w:val="auto"/>
        </w:rPr>
        <w:t>11:45</w:t>
      </w:r>
      <w:r w:rsidR="00A2183B" w:rsidRPr="003F0708">
        <w:rPr>
          <w:rFonts w:ascii="Arial" w:hAnsi="Arial" w:cs="Arial"/>
          <w:b/>
          <w:color w:val="auto"/>
        </w:rPr>
        <w:t>.</w:t>
      </w:r>
    </w:p>
    <w:p w14:paraId="2880E330" w14:textId="6802148C" w:rsidR="0060016F" w:rsidRPr="003F0708" w:rsidRDefault="0060016F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  <w:color w:val="auto"/>
        </w:rPr>
        <w:t xml:space="preserve">Otwarcie ofert odbędzie się </w:t>
      </w:r>
      <w:r w:rsidRPr="003F0708">
        <w:rPr>
          <w:rFonts w:ascii="Arial" w:hAnsi="Arial" w:cs="Arial"/>
          <w:b/>
          <w:color w:val="auto"/>
        </w:rPr>
        <w:t xml:space="preserve">w dniu </w:t>
      </w:r>
      <w:r w:rsidR="00866E69">
        <w:rPr>
          <w:rFonts w:ascii="Arial" w:hAnsi="Arial" w:cs="Arial"/>
          <w:b/>
          <w:color w:val="auto"/>
        </w:rPr>
        <w:t>1</w:t>
      </w:r>
      <w:r w:rsidR="009D70E7">
        <w:rPr>
          <w:rFonts w:ascii="Arial" w:hAnsi="Arial" w:cs="Arial"/>
          <w:b/>
          <w:color w:val="auto"/>
        </w:rPr>
        <w:t>2.12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76664B">
        <w:rPr>
          <w:rFonts w:ascii="Arial" w:hAnsi="Arial" w:cs="Arial"/>
          <w:b/>
          <w:color w:val="auto"/>
        </w:rPr>
        <w:t>4</w:t>
      </w:r>
      <w:r w:rsidR="00A2183B" w:rsidRPr="003F0708">
        <w:rPr>
          <w:rFonts w:ascii="Arial" w:hAnsi="Arial" w:cs="Arial"/>
          <w:b/>
          <w:color w:val="auto"/>
        </w:rPr>
        <w:t xml:space="preserve"> r.</w:t>
      </w:r>
      <w:r w:rsidR="005A7C55" w:rsidRPr="003F0708">
        <w:rPr>
          <w:rFonts w:ascii="Arial" w:hAnsi="Arial" w:cs="Arial"/>
          <w:b/>
          <w:color w:val="auto"/>
        </w:rPr>
        <w:t xml:space="preserve"> </w:t>
      </w:r>
      <w:r w:rsidRPr="003F0708">
        <w:rPr>
          <w:rFonts w:ascii="Arial" w:hAnsi="Arial" w:cs="Arial"/>
          <w:b/>
          <w:color w:val="auto"/>
        </w:rPr>
        <w:t xml:space="preserve">o godz. </w:t>
      </w:r>
      <w:r w:rsidR="002F3058" w:rsidRPr="003F0708">
        <w:rPr>
          <w:rFonts w:ascii="Arial" w:hAnsi="Arial" w:cs="Arial"/>
          <w:b/>
          <w:color w:val="auto"/>
        </w:rPr>
        <w:t>12:00</w:t>
      </w:r>
      <w:r w:rsidR="002C349B" w:rsidRPr="003F0708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3F0708" w:rsidRDefault="00783614" w:rsidP="003F0708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3F0708" w:rsidRDefault="007F10F7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</w:rPr>
        <w:t xml:space="preserve">Ponieważ otwarcie ofert nastąpi przy użyciu systemu teleinformatycznego, </w:t>
      </w:r>
      <w:r w:rsidR="002F3058" w:rsidRPr="003F0708">
        <w:rPr>
          <w:rFonts w:ascii="Arial" w:hAnsi="Arial" w:cs="Arial"/>
        </w:rPr>
        <w:br/>
      </w:r>
      <w:r w:rsidRPr="003F0708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3F0708" w:rsidRDefault="007F10F7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</w:rPr>
        <w:t xml:space="preserve">W sytuacji, o której mowa w pkt </w:t>
      </w:r>
      <w:r w:rsidR="00A23EDC" w:rsidRPr="003F0708">
        <w:rPr>
          <w:rFonts w:ascii="Arial" w:hAnsi="Arial" w:cs="Arial"/>
        </w:rPr>
        <w:t>4</w:t>
      </w:r>
      <w:r w:rsidRPr="003F0708">
        <w:rPr>
          <w:rFonts w:ascii="Arial" w:hAnsi="Arial" w:cs="Arial"/>
        </w:rPr>
        <w:t xml:space="preserve"> zamawiający zamieści na </w:t>
      </w:r>
      <w:r w:rsidR="003E7CAF" w:rsidRPr="003F0708">
        <w:rPr>
          <w:rFonts w:ascii="Arial" w:hAnsi="Arial" w:cs="Arial"/>
        </w:rPr>
        <w:t>Platformie</w:t>
      </w:r>
      <w:r w:rsidR="00A455E7" w:rsidRPr="003F0708">
        <w:rPr>
          <w:rFonts w:ascii="Arial" w:hAnsi="Arial" w:cs="Arial"/>
        </w:rPr>
        <w:t xml:space="preserve"> </w:t>
      </w:r>
      <w:r w:rsidR="003E7CAF" w:rsidRPr="003F0708">
        <w:rPr>
          <w:rFonts w:ascii="Arial" w:hAnsi="Arial" w:cs="Arial"/>
        </w:rPr>
        <w:t>/stronie internetowej prowadzonego postępowania</w:t>
      </w:r>
      <w:r w:rsidRPr="003F0708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3F0708" w:rsidRDefault="0060016F" w:rsidP="003F0708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</w:t>
      </w:r>
      <w:r w:rsidR="007F10F7" w:rsidRPr="003F0708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3F0708">
        <w:rPr>
          <w:rFonts w:ascii="Arial" w:hAnsi="Arial" w:cs="Arial"/>
          <w:sz w:val="24"/>
          <w:szCs w:val="24"/>
        </w:rPr>
        <w:t>Platformie</w:t>
      </w:r>
      <w:r w:rsidR="0055322A" w:rsidRPr="003F0708">
        <w:rPr>
          <w:rFonts w:ascii="Arial" w:hAnsi="Arial" w:cs="Arial"/>
          <w:sz w:val="24"/>
          <w:szCs w:val="24"/>
        </w:rPr>
        <w:t xml:space="preserve"> </w:t>
      </w:r>
      <w:r w:rsidR="003E7CAF" w:rsidRPr="003F0708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3F0708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3F0708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3F0708" w:rsidRDefault="007F10F7" w:rsidP="003F0708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3F0708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3F0708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3F0708" w:rsidRDefault="00EC3673" w:rsidP="003F0708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3F0708" w:rsidRDefault="00EC3673" w:rsidP="003F0708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3F0708" w:rsidRDefault="00EC3673" w:rsidP="003F070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3F0708">
        <w:rPr>
          <w:rFonts w:ascii="Arial" w:hAnsi="Arial" w:cs="Arial"/>
          <w:sz w:val="24"/>
          <w:szCs w:val="24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3F0708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Pr="003F0708" w:rsidRDefault="00E34489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3F0708" w:rsidRDefault="00E34489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</w:rPr>
        <w:t>Zamawiający poprawi w ofercie:</w:t>
      </w:r>
    </w:p>
    <w:p w14:paraId="4251A440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3F0708">
        <w:rPr>
          <w:rFonts w:ascii="Arial" w:hAnsi="Arial" w:cs="Arial"/>
          <w:sz w:val="24"/>
          <w:szCs w:val="24"/>
        </w:rPr>
        <w:t>,</w:t>
      </w:r>
      <w:r w:rsidRPr="003F0708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Pr="003F0708" w:rsidRDefault="008F4D0F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3F0708" w:rsidRDefault="00DD1F4C" w:rsidP="003F0708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3F0708">
      <w:pPr>
        <w:numPr>
          <w:ilvl w:val="0"/>
          <w:numId w:val="21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3F0708">
        <w:rPr>
          <w:rFonts w:ascii="Arial" w:hAnsi="Arial" w:cs="Arial"/>
          <w:sz w:val="24"/>
          <w:szCs w:val="24"/>
          <w:lang w:eastAsia="zh-CN"/>
        </w:rPr>
        <w:br/>
      </w:r>
      <w:r w:rsidRPr="003F0708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lastRenderedPageBreak/>
        <w:t xml:space="preserve">wykonawca zakwestionował poprawienie omyłki, o której mowa w pkt 2 </w:t>
      </w:r>
      <w:proofErr w:type="spellStart"/>
      <w:r w:rsidRPr="003F0708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3F0708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3F0708" w:rsidRDefault="00696863" w:rsidP="003F0708">
      <w:pPr>
        <w:pStyle w:val="Tekstpodstawowywcity21"/>
        <w:numPr>
          <w:ilvl w:val="0"/>
          <w:numId w:val="22"/>
        </w:numPr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3F0708" w:rsidRDefault="00027F5F" w:rsidP="003F0708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3F0708" w:rsidRDefault="00027F5F" w:rsidP="003F07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3F0708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3F0708" w:rsidRDefault="008754B7" w:rsidP="003F070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3F0708" w:rsidRDefault="008754B7" w:rsidP="003F070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3F0708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77777777" w:rsidR="00ED65AE" w:rsidRPr="003F0708" w:rsidRDefault="00E344DD" w:rsidP="003F0708">
      <w:pPr>
        <w:pStyle w:val="Tekstpodstawowywcity21"/>
        <w:ind w:left="360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F0708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3F0708" w:rsidRDefault="00EF0D6B" w:rsidP="003F0708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3F0708" w:rsidRDefault="00EF0D6B" w:rsidP="003F0708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3F0708" w:rsidRDefault="00A171D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3F0708" w:rsidRDefault="00ED65AE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3F0708">
        <w:rPr>
          <w:rFonts w:ascii="Arial" w:hAnsi="Arial" w:cs="Arial"/>
          <w:b w:val="0"/>
          <w:bCs w:val="0"/>
        </w:rPr>
        <w:t>Platformie/</w:t>
      </w:r>
      <w:r w:rsidRPr="003F0708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3F0708">
        <w:rPr>
          <w:rFonts w:ascii="Arial" w:hAnsi="Arial" w:cs="Arial"/>
          <w:b w:val="0"/>
          <w:bCs w:val="0"/>
        </w:rPr>
        <w:t xml:space="preserve">ww. </w:t>
      </w:r>
      <w:r w:rsidRPr="003F0708">
        <w:rPr>
          <w:rFonts w:ascii="Arial" w:hAnsi="Arial" w:cs="Arial"/>
          <w:b w:val="0"/>
          <w:bCs w:val="0"/>
        </w:rPr>
        <w:t>informacj</w:t>
      </w:r>
      <w:r w:rsidR="00F66F4A" w:rsidRPr="003F0708">
        <w:rPr>
          <w:rFonts w:ascii="Arial" w:hAnsi="Arial" w:cs="Arial"/>
          <w:b w:val="0"/>
          <w:bCs w:val="0"/>
        </w:rPr>
        <w:t>e</w:t>
      </w:r>
      <w:r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3F0708" w:rsidRDefault="00B0033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3F0708">
      <w:pPr>
        <w:numPr>
          <w:ilvl w:val="0"/>
          <w:numId w:val="24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Zamawiający unieważnia postępowanie o udzielenie zamówienia, jeżeli:</w:t>
      </w:r>
    </w:p>
    <w:p w14:paraId="74C23455" w14:textId="77777777" w:rsidR="008754B7" w:rsidRPr="003F0708" w:rsidRDefault="008754B7" w:rsidP="003F0708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3F0708" w:rsidRDefault="008754B7" w:rsidP="003F0708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53492" w:rsidRDefault="008754B7" w:rsidP="003F0708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3F070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53492" w:rsidRDefault="001B42AD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3F0708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6F3AA6D0" w:rsidR="00495486" w:rsidRDefault="00495486" w:rsidP="003F0708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02787B">
        <w:rPr>
          <w:rFonts w:ascii="Arial" w:hAnsi="Arial" w:cs="Arial"/>
          <w:bCs w:val="0"/>
          <w:sz w:val="24"/>
          <w:szCs w:val="24"/>
        </w:rPr>
        <w:t>6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5B6D893F" w14:textId="31D42E03" w:rsidR="006D7813" w:rsidRPr="006D7813" w:rsidRDefault="006D7813" w:rsidP="006D7813">
      <w:pPr>
        <w:numPr>
          <w:ilvl w:val="2"/>
          <w:numId w:val="8"/>
        </w:numPr>
        <w:tabs>
          <w:tab w:val="left" w:pos="-1843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Zamawiający nie wymaga wniesienia zabezpieczenia należytego wykonania umowy.</w:t>
      </w:r>
    </w:p>
    <w:p w14:paraId="1BBACAAC" w14:textId="77777777" w:rsidR="00C6145E" w:rsidRPr="00A53492" w:rsidRDefault="004635DD" w:rsidP="003F0708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53492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10ABC694" w14:textId="7DBAF38F" w:rsidR="001A5C95" w:rsidRPr="001A5C95" w:rsidRDefault="001A5C95" w:rsidP="001A5C95">
      <w:pPr>
        <w:numPr>
          <w:ilvl w:val="0"/>
          <w:numId w:val="34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1A5C95">
        <w:rPr>
          <w:rFonts w:ascii="Arial" w:hAnsi="Arial" w:cs="Arial"/>
          <w:iCs/>
          <w:sz w:val="24"/>
          <w:szCs w:val="24"/>
        </w:rPr>
        <w:t>obejmującą szkody wyrządzone w związku z prowadzoną działalnością i posiadaniem mienia, w tym powstałe w związku z realizacją zadania określonego w Umowie</w:t>
      </w:r>
      <w:r w:rsidRPr="001A5C95">
        <w:rPr>
          <w:rFonts w:ascii="Arial" w:hAnsi="Arial" w:cs="Arial"/>
          <w:sz w:val="24"/>
          <w:szCs w:val="24"/>
        </w:rPr>
        <w:t xml:space="preserve">, przy sumie gwarancyjnej nie mniejszej niż </w:t>
      </w:r>
      <w:r w:rsidR="008F5D41">
        <w:rPr>
          <w:rFonts w:ascii="Arial" w:hAnsi="Arial" w:cs="Arial"/>
          <w:sz w:val="24"/>
          <w:szCs w:val="24"/>
        </w:rPr>
        <w:t>5</w:t>
      </w:r>
      <w:r w:rsidRPr="001A5C95">
        <w:rPr>
          <w:rFonts w:ascii="Arial" w:hAnsi="Arial" w:cs="Arial"/>
          <w:sz w:val="24"/>
          <w:szCs w:val="24"/>
        </w:rPr>
        <w:t xml:space="preserve">00.000,00 PLN na jeden i wszystkie wypadki w okresie ubezpieczenia, </w:t>
      </w:r>
      <w:r w:rsidRPr="001A5C95">
        <w:rPr>
          <w:rFonts w:ascii="Arial" w:hAnsi="Arial" w:cs="Arial"/>
          <w:iCs/>
          <w:sz w:val="24"/>
          <w:szCs w:val="24"/>
        </w:rPr>
        <w:t>z rozszerzeniem o</w:t>
      </w:r>
      <w:r w:rsidRPr="001A5C95">
        <w:rPr>
          <w:rFonts w:ascii="Arial" w:hAnsi="Arial" w:cs="Arial"/>
          <w:sz w:val="24"/>
          <w:szCs w:val="24"/>
        </w:rPr>
        <w:t>:</w:t>
      </w:r>
    </w:p>
    <w:p w14:paraId="28EDDF6D" w14:textId="77777777" w:rsidR="001A5C95" w:rsidRPr="001A5C95" w:rsidRDefault="001A5C95" w:rsidP="001A5C95">
      <w:pPr>
        <w:numPr>
          <w:ilvl w:val="0"/>
          <w:numId w:val="35"/>
        </w:numPr>
        <w:ind w:left="1134" w:hanging="567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iCs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48A13343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iCs/>
          <w:sz w:val="24"/>
          <w:szCs w:val="24"/>
        </w:rPr>
        <w:t>odpowiedzialność cywilna za szkody wyrządzone przez podwykonawców Ubezpieczonego – limit do wysokości sumy gwarancyjnej,</w:t>
      </w:r>
    </w:p>
    <w:p w14:paraId="6B3862EF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odpowiedzialność cywilna za szkody powstałe po wykonaniu pracy lub usługi wynikłe z nienależytego wykonania zobowiązania – limit do wysokości sumy gwarancyjnej,</w:t>
      </w:r>
    </w:p>
    <w:p w14:paraId="6D38639B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lastRenderedPageBreak/>
        <w:t>odpowiedzialność cywilna za szkody w rzeczach stanowiących przedmiot obróbki, naprawy lub innych czynności w ramach usług wykonywanych przez Ubezpieczonego,</w:t>
      </w:r>
    </w:p>
    <w:p w14:paraId="27522A05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ubezpieczonego,</w:t>
      </w:r>
    </w:p>
    <w:p w14:paraId="1622CD46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5029A688" w14:textId="77777777" w:rsidR="001A5C95" w:rsidRPr="001A5C95" w:rsidRDefault="001A5C95" w:rsidP="001A5C95">
      <w:pPr>
        <w:numPr>
          <w:ilvl w:val="0"/>
          <w:numId w:val="34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8E6A0C5" w14:textId="77777777" w:rsidR="001A5C95" w:rsidRPr="001A5C95" w:rsidRDefault="001A5C95" w:rsidP="001A5C9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2B29EF3" w14:textId="77777777" w:rsidR="001A5C95" w:rsidRPr="001A5C95" w:rsidRDefault="001A5C95" w:rsidP="001A5C9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988B402" w14:textId="77777777" w:rsidR="001A5C95" w:rsidRPr="001A5C95" w:rsidRDefault="001A5C95" w:rsidP="001A5C9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zadania,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4B020D9" w14:textId="77777777" w:rsidR="003853E8" w:rsidRPr="003F0708" w:rsidRDefault="003853E8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3F0708" w:rsidRDefault="00BF60B7" w:rsidP="003F070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F0708" w:rsidRDefault="001D2251" w:rsidP="003F0708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6232678" w14:textId="77777777" w:rsidR="006D7813" w:rsidRPr="00E8282A" w:rsidRDefault="006D7813" w:rsidP="006D781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02C2">
        <w:rPr>
          <w:rFonts w:ascii="Arial" w:hAnsi="Arial" w:cs="Arial"/>
          <w:b/>
          <w:bCs/>
          <w:sz w:val="24"/>
          <w:szCs w:val="24"/>
        </w:rPr>
        <w:t xml:space="preserve">Przedmiotem zamówienia </w:t>
      </w:r>
      <w:r w:rsidRPr="00F502C2">
        <w:rPr>
          <w:rFonts w:ascii="Arial" w:hAnsi="Arial" w:cs="Arial"/>
          <w:sz w:val="24"/>
          <w:szCs w:val="24"/>
        </w:rPr>
        <w:t xml:space="preserve">jest </w:t>
      </w:r>
      <w:r w:rsidRPr="00AE43A4">
        <w:rPr>
          <w:rFonts w:ascii="Arial" w:hAnsi="Arial" w:cs="Arial"/>
          <w:sz w:val="24"/>
          <w:szCs w:val="24"/>
        </w:rPr>
        <w:t>utrzymani</w:t>
      </w:r>
      <w:r>
        <w:rPr>
          <w:rFonts w:ascii="Arial" w:hAnsi="Arial" w:cs="Arial"/>
          <w:sz w:val="24"/>
          <w:szCs w:val="24"/>
        </w:rPr>
        <w:t>e</w:t>
      </w:r>
      <w:r w:rsidRPr="00AE4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 w:rsidRPr="00AE43A4">
        <w:rPr>
          <w:rFonts w:ascii="Arial" w:hAnsi="Arial" w:cs="Arial"/>
          <w:sz w:val="24"/>
          <w:szCs w:val="24"/>
        </w:rPr>
        <w:t xml:space="preserve">sprawności technicznej </w:t>
      </w:r>
      <w:r>
        <w:rPr>
          <w:rFonts w:ascii="Arial" w:hAnsi="Arial" w:cs="Arial"/>
          <w:sz w:val="24"/>
          <w:szCs w:val="24"/>
        </w:rPr>
        <w:br/>
      </w:r>
      <w:r w:rsidRPr="00AE43A4">
        <w:rPr>
          <w:rFonts w:ascii="Arial" w:hAnsi="Arial" w:cs="Arial"/>
          <w:sz w:val="24"/>
          <w:szCs w:val="24"/>
        </w:rPr>
        <w:t>i wykonywani</w:t>
      </w:r>
      <w:r>
        <w:rPr>
          <w:rFonts w:ascii="Arial" w:hAnsi="Arial" w:cs="Arial"/>
          <w:sz w:val="24"/>
          <w:szCs w:val="24"/>
        </w:rPr>
        <w:t>e</w:t>
      </w:r>
      <w:r w:rsidRPr="00AE43A4">
        <w:rPr>
          <w:rFonts w:ascii="Arial" w:hAnsi="Arial" w:cs="Arial"/>
          <w:sz w:val="24"/>
          <w:szCs w:val="24"/>
        </w:rPr>
        <w:t xml:space="preserve"> comiesięcznych przeglądów agregatów prądotwórczych </w:t>
      </w:r>
      <w:r>
        <w:rPr>
          <w:rFonts w:ascii="Arial" w:hAnsi="Arial" w:cs="Arial"/>
          <w:sz w:val="24"/>
          <w:szCs w:val="24"/>
        </w:rPr>
        <w:br/>
      </w:r>
      <w:r w:rsidRPr="00AE43A4">
        <w:rPr>
          <w:rFonts w:ascii="Arial" w:hAnsi="Arial" w:cs="Arial"/>
          <w:sz w:val="24"/>
          <w:szCs w:val="24"/>
        </w:rPr>
        <w:t>w obiektach</w:t>
      </w:r>
      <w:r>
        <w:rPr>
          <w:rFonts w:ascii="Arial" w:hAnsi="Arial" w:cs="Arial"/>
          <w:sz w:val="24"/>
          <w:szCs w:val="24"/>
        </w:rPr>
        <w:t xml:space="preserve"> </w:t>
      </w:r>
      <w:r w:rsidRPr="00AE43A4">
        <w:rPr>
          <w:rFonts w:ascii="Arial" w:hAnsi="Arial" w:cs="Arial"/>
          <w:sz w:val="24"/>
          <w:szCs w:val="24"/>
        </w:rPr>
        <w:t>ZWiK Sp.</w:t>
      </w:r>
      <w:r>
        <w:rPr>
          <w:rFonts w:ascii="Arial" w:hAnsi="Arial" w:cs="Arial"/>
          <w:sz w:val="24"/>
          <w:szCs w:val="24"/>
        </w:rPr>
        <w:t xml:space="preserve"> </w:t>
      </w:r>
      <w:r w:rsidRPr="00AE43A4">
        <w:rPr>
          <w:rFonts w:ascii="Arial" w:hAnsi="Arial" w:cs="Arial"/>
          <w:sz w:val="24"/>
          <w:szCs w:val="24"/>
        </w:rPr>
        <w:t xml:space="preserve">z o.o. wyszczególnionych w </w:t>
      </w:r>
      <w:r>
        <w:rPr>
          <w:rFonts w:ascii="Arial" w:hAnsi="Arial" w:cs="Arial"/>
          <w:sz w:val="24"/>
          <w:szCs w:val="24"/>
        </w:rPr>
        <w:t xml:space="preserve">opisie przedmiotu zamówienia </w:t>
      </w:r>
      <w:r w:rsidRPr="00AE43A4">
        <w:rPr>
          <w:rFonts w:ascii="Arial" w:hAnsi="Arial" w:cs="Arial"/>
          <w:b/>
          <w:bCs/>
          <w:sz w:val="24"/>
          <w:szCs w:val="24"/>
        </w:rPr>
        <w:t>załączniku nr 7 do SWZ</w:t>
      </w:r>
      <w:r w:rsidRPr="00AE43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oraz we wzorze umowy</w:t>
      </w:r>
      <w:r w:rsidRPr="009665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43A4">
        <w:rPr>
          <w:rFonts w:ascii="Arial" w:hAnsi="Arial" w:cs="Arial"/>
          <w:b/>
          <w:bCs/>
          <w:sz w:val="24"/>
          <w:szCs w:val="24"/>
        </w:rPr>
        <w:t xml:space="preserve">załączniku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AE43A4">
        <w:rPr>
          <w:rFonts w:ascii="Arial" w:hAnsi="Arial" w:cs="Arial"/>
          <w:b/>
          <w:bCs/>
          <w:sz w:val="24"/>
          <w:szCs w:val="24"/>
        </w:rPr>
        <w:t xml:space="preserve"> do SWZ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AE43A4">
        <w:rPr>
          <w:rFonts w:ascii="Arial" w:hAnsi="Arial" w:cs="Arial"/>
          <w:sz w:val="24"/>
          <w:szCs w:val="24"/>
        </w:rPr>
        <w:t xml:space="preserve"> zgodnie z DTR</w:t>
      </w:r>
      <w:r>
        <w:rPr>
          <w:rFonts w:ascii="Arial" w:hAnsi="Arial" w:cs="Arial"/>
          <w:sz w:val="24"/>
          <w:szCs w:val="24"/>
        </w:rPr>
        <w:t xml:space="preserve"> </w:t>
      </w:r>
      <w:r w:rsidRPr="00AE43A4">
        <w:rPr>
          <w:rFonts w:ascii="Arial" w:hAnsi="Arial" w:cs="Arial"/>
          <w:sz w:val="24"/>
          <w:szCs w:val="24"/>
        </w:rPr>
        <w:t>i obowiązującymi przepisami, przez okres 24 miesięcy</w:t>
      </w:r>
      <w:r w:rsidRPr="00F502C2">
        <w:rPr>
          <w:rFonts w:ascii="Arial" w:hAnsi="Arial" w:cs="Arial"/>
          <w:sz w:val="24"/>
          <w:szCs w:val="24"/>
        </w:rPr>
        <w:t>.</w:t>
      </w:r>
    </w:p>
    <w:p w14:paraId="49784C83" w14:textId="7D38F6DF" w:rsidR="006D7813" w:rsidRPr="006D7813" w:rsidRDefault="006D7813" w:rsidP="006D7813">
      <w:pPr>
        <w:suppressAutoHyphens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D7813">
        <w:rPr>
          <w:rFonts w:ascii="Arial" w:hAnsi="Arial" w:cs="Arial"/>
          <w:b/>
          <w:sz w:val="24"/>
          <w:szCs w:val="24"/>
        </w:rPr>
        <w:t xml:space="preserve">2. </w:t>
      </w:r>
      <w:r w:rsidR="00922C6C" w:rsidRPr="006D7813">
        <w:rPr>
          <w:rFonts w:ascii="Arial" w:hAnsi="Arial" w:cs="Arial"/>
          <w:b/>
          <w:sz w:val="24"/>
          <w:szCs w:val="24"/>
        </w:rPr>
        <w:t>Zakres</w:t>
      </w:r>
      <w:r w:rsidRPr="006D78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7813">
        <w:rPr>
          <w:rFonts w:ascii="Arial" w:hAnsi="Arial" w:cs="Arial"/>
          <w:b/>
          <w:color w:val="000000"/>
          <w:sz w:val="24"/>
          <w:szCs w:val="24"/>
        </w:rPr>
        <w:t>przeglądów obejmuje:</w:t>
      </w:r>
    </w:p>
    <w:p w14:paraId="271C2511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zbiornika paliwa,</w:t>
      </w:r>
    </w:p>
    <w:p w14:paraId="7DC6D118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 xml:space="preserve">sprawdzenie </w:t>
      </w:r>
      <w:r w:rsidRPr="006D7813">
        <w:rPr>
          <w:rFonts w:ascii="Arial" w:hAnsi="Arial" w:cs="Arial"/>
          <w:spacing w:val="-5"/>
          <w:sz w:val="24"/>
          <w:szCs w:val="24"/>
        </w:rPr>
        <w:t>filtrów paliwa,</w:t>
      </w:r>
    </w:p>
    <w:p w14:paraId="4F507057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 xml:space="preserve">sprawdzenie </w:t>
      </w:r>
      <w:r w:rsidRPr="006D7813">
        <w:rPr>
          <w:rFonts w:ascii="Arial" w:hAnsi="Arial" w:cs="Arial"/>
          <w:spacing w:val="-4"/>
          <w:sz w:val="24"/>
          <w:szCs w:val="24"/>
        </w:rPr>
        <w:t>filtrów powietrza,</w:t>
      </w:r>
    </w:p>
    <w:p w14:paraId="5BF2A5BA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sprawdzenie filtrów olejowych,</w:t>
      </w:r>
    </w:p>
    <w:p w14:paraId="06CCAE89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szczelności w układzie paliwowym,</w:t>
      </w:r>
    </w:p>
    <w:p w14:paraId="755068B3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lastRenderedPageBreak/>
        <w:t xml:space="preserve">sprawdzenie szczelności w układzie chłodzenia silnika, </w:t>
      </w:r>
    </w:p>
    <w:p w14:paraId="28CD9E4E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szczelności i sprawności układu smarowania silnika,</w:t>
      </w:r>
    </w:p>
    <w:p w14:paraId="733ED2CD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kontrola stanu pasków klinowych i łożyska wentylatora,</w:t>
      </w:r>
    </w:p>
    <w:p w14:paraId="4C29F2B7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wszystkich połączeń elastycznych,</w:t>
      </w:r>
    </w:p>
    <w:p w14:paraId="00513438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sprawdzenie stanu styków łącznych w szafie sterowniczej agregatu,</w:t>
      </w:r>
    </w:p>
    <w:p w14:paraId="464D04BC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połączeń elektrycznych zespołu,</w:t>
      </w:r>
    </w:p>
    <w:p w14:paraId="13BB8993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pomiar napięć na wyjściu z prądnicy na sieć,</w:t>
      </w:r>
    </w:p>
    <w:p w14:paraId="1C999622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połączeń fazowych agregatu,</w:t>
      </w:r>
    </w:p>
    <w:p w14:paraId="4B216600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połączeń w szafie sterowania,</w:t>
      </w:r>
    </w:p>
    <w:p w14:paraId="5B52EB0F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sprawdzenie prawidłowości działania układów sygnalizacji awarii,</w:t>
      </w:r>
    </w:p>
    <w:p w14:paraId="17108F38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kontrola stanu połączeń regulatora napięcia,</w:t>
      </w:r>
    </w:p>
    <w:p w14:paraId="715318FA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kontrola wskazań urządzeń pomiarowych,</w:t>
      </w:r>
    </w:p>
    <w:p w14:paraId="1BF23385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2"/>
          <w:sz w:val="24"/>
          <w:szCs w:val="24"/>
        </w:rPr>
        <w:t>sprawdzenie stanu instalacji rozruchowej,</w:t>
      </w:r>
    </w:p>
    <w:p w14:paraId="35AF432B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2"/>
          <w:sz w:val="24"/>
          <w:szCs w:val="24"/>
        </w:rPr>
        <w:t>sprawdzenie stanu akumulatorów i układu ładowania,</w:t>
      </w:r>
    </w:p>
    <w:p w14:paraId="1FB097E6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ogólnego stanu wszystkich połączeń elektrycznych w układzie sterowania,</w:t>
      </w:r>
    </w:p>
    <w:p w14:paraId="54C00CC6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 xml:space="preserve">ocena stanu technicznego </w:t>
      </w:r>
      <w:r w:rsidRPr="006D7813">
        <w:rPr>
          <w:rFonts w:ascii="Arial" w:hAnsi="Arial" w:cs="Arial"/>
          <w:spacing w:val="-4"/>
          <w:sz w:val="24"/>
          <w:szCs w:val="24"/>
        </w:rPr>
        <w:t>i wpis do książki pracy maszyny,</w:t>
      </w:r>
    </w:p>
    <w:p w14:paraId="66B6E6F0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zgłaszanie do TRE wszelkich nieprawidłowości i konieczności wykonania napraw.</w:t>
      </w:r>
    </w:p>
    <w:p w14:paraId="11C66B51" w14:textId="77777777" w:rsidR="006D7813" w:rsidRPr="006D7813" w:rsidRDefault="006D7813" w:rsidP="006D7813">
      <w:pPr>
        <w:pStyle w:val="Akapitzlist"/>
        <w:tabs>
          <w:tab w:val="left" w:pos="993"/>
        </w:tabs>
        <w:ind w:left="993"/>
        <w:rPr>
          <w:rFonts w:ascii="Arial" w:hAnsi="Arial" w:cs="Arial"/>
          <w:sz w:val="24"/>
          <w:szCs w:val="24"/>
        </w:rPr>
      </w:pPr>
    </w:p>
    <w:p w14:paraId="040FCC02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Awarie agregatów prądotwórczych zgłaszane będą przez Zamawiającego we wszystkie dni całą dobę telefonicznie Wykonawcy.</w:t>
      </w:r>
    </w:p>
    <w:p w14:paraId="6D122A70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Czas reakcji Wykonawcy na zgłoszenie awaryjne wynosi do 2 godziny od zgłoszenia. Poprzez reakcję na zgłoszenie rozumie się faktyczne rozpoczęcie czynności serwisowych u Zamawiającego.</w:t>
      </w:r>
    </w:p>
    <w:p w14:paraId="6CF2EFFD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Przedmiot umowy będzie realizowany sukcesywnie w terminie 24 miesięcy od daty zawarcia niniejszej umowy, w turach co 1 miesiąc.</w:t>
      </w:r>
    </w:p>
    <w:p w14:paraId="3EEDACEE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Prace związane z przeglądami Wykonawca zobowiązany jest wykonywać w dni robocze w godzinach 7</w:t>
      </w:r>
      <w:r w:rsidRPr="006D7813">
        <w:rPr>
          <w:rFonts w:ascii="Arial" w:hAnsi="Arial" w:cs="Arial"/>
          <w:sz w:val="24"/>
          <w:szCs w:val="24"/>
          <w:vertAlign w:val="superscript"/>
        </w:rPr>
        <w:t>30</w:t>
      </w:r>
      <w:r w:rsidRPr="006D7813">
        <w:rPr>
          <w:rFonts w:ascii="Arial" w:hAnsi="Arial" w:cs="Arial"/>
          <w:sz w:val="24"/>
          <w:szCs w:val="24"/>
        </w:rPr>
        <w:t xml:space="preserve"> – 14</w:t>
      </w:r>
      <w:r w:rsidRPr="006D7813">
        <w:rPr>
          <w:rFonts w:ascii="Arial" w:hAnsi="Arial" w:cs="Arial"/>
          <w:sz w:val="24"/>
          <w:szCs w:val="24"/>
          <w:vertAlign w:val="superscript"/>
        </w:rPr>
        <w:t>00</w:t>
      </w:r>
      <w:r w:rsidRPr="006D7813">
        <w:rPr>
          <w:rFonts w:ascii="Arial" w:hAnsi="Arial" w:cs="Arial"/>
          <w:sz w:val="24"/>
          <w:szCs w:val="24"/>
        </w:rPr>
        <w:t>.</w:t>
      </w:r>
    </w:p>
    <w:p w14:paraId="36BD7C5B" w14:textId="34AC1A43" w:rsidR="008B10EC" w:rsidRPr="003F0708" w:rsidRDefault="008B10EC" w:rsidP="006D7813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0708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00497A7" w14:textId="081EB4DB" w:rsidR="00572FFE" w:rsidRPr="003F0708" w:rsidRDefault="008B10EC" w:rsidP="003F0708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F0708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iCs/>
          <w:sz w:val="24"/>
          <w:szCs w:val="24"/>
        </w:rPr>
        <w:t>wymaga zatrudnienia przez wykonawcę w trakcie realizacji zamówienia na podstawie stosunku pracy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>.</w:t>
      </w:r>
    </w:p>
    <w:p w14:paraId="29BFE6CB" w14:textId="77777777" w:rsidR="00DF4FE1" w:rsidRPr="003F0708" w:rsidRDefault="00DF4FE1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9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895667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3</w:t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6895EE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4</w:t>
      </w:r>
      <w:r w:rsidRPr="006D7813">
        <w:rPr>
          <w:rFonts w:ascii="Arial" w:hAnsi="Arial" w:cs="Arial"/>
          <w:bCs/>
          <w:sz w:val="24"/>
          <w:szCs w:val="24"/>
        </w:rPr>
        <w:tab/>
        <w:t>wykaz usług</w:t>
      </w:r>
    </w:p>
    <w:p w14:paraId="7F0B15DD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5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6752BDD6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6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6C49B300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7</w:t>
      </w:r>
      <w:r w:rsidRPr="006D781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9786AE6" w14:textId="620F24A9" w:rsidR="00E51A15" w:rsidRPr="003F0708" w:rsidRDefault="00E51A15" w:rsidP="003F0708">
      <w:pPr>
        <w:rPr>
          <w:rFonts w:ascii="Arial" w:hAnsi="Arial" w:cs="Arial"/>
          <w:bCs/>
          <w:sz w:val="24"/>
          <w:szCs w:val="24"/>
        </w:rPr>
      </w:pPr>
    </w:p>
    <w:bookmarkEnd w:id="9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BDA5" w14:textId="77777777" w:rsidR="005857EE" w:rsidRDefault="005857EE" w:rsidP="00EF0384">
      <w:r>
        <w:separator/>
      </w:r>
    </w:p>
  </w:endnote>
  <w:endnote w:type="continuationSeparator" w:id="0">
    <w:p w14:paraId="46609B72" w14:textId="77777777" w:rsidR="005857EE" w:rsidRDefault="005857E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036B01" w:rsidRDefault="00036B0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36B01" w:rsidRDefault="00036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2526" w14:textId="77777777" w:rsidR="005857EE" w:rsidRDefault="005857EE" w:rsidP="00EF0384">
      <w:r>
        <w:separator/>
      </w:r>
    </w:p>
  </w:footnote>
  <w:footnote w:type="continuationSeparator" w:id="0">
    <w:p w14:paraId="500EB825" w14:textId="77777777" w:rsidR="005857EE" w:rsidRDefault="005857E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05288D68" w:rsidR="00036B01" w:rsidRPr="006E19D9" w:rsidRDefault="00036B0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9D70E7">
      <w:rPr>
        <w:rFonts w:ascii="Arial" w:hAnsi="Arial" w:cs="Arial"/>
        <w:b/>
      </w:rPr>
      <w:t>108</w:t>
    </w:r>
    <w:r w:rsidRPr="006E19D9">
      <w:rPr>
        <w:rFonts w:ascii="Arial" w:hAnsi="Arial" w:cs="Arial"/>
        <w:b/>
      </w:rPr>
      <w:t>/202</w:t>
    </w:r>
    <w:r w:rsidR="00AB30A3">
      <w:rPr>
        <w:rFonts w:ascii="Arial" w:hAnsi="Arial" w:cs="Arial"/>
        <w:b/>
      </w:rPr>
      <w:t>4</w:t>
    </w:r>
  </w:p>
  <w:p w14:paraId="29121193" w14:textId="77777777" w:rsidR="00036B01" w:rsidRDefault="00036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6C7"/>
    <w:multiLevelType w:val="hybridMultilevel"/>
    <w:tmpl w:val="85C44E58"/>
    <w:lvl w:ilvl="0" w:tplc="B35657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9C46533"/>
    <w:multiLevelType w:val="hybridMultilevel"/>
    <w:tmpl w:val="2A6CFB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72C23"/>
    <w:multiLevelType w:val="hybridMultilevel"/>
    <w:tmpl w:val="39D874A4"/>
    <w:lvl w:ilvl="0" w:tplc="E80E2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B4BE9"/>
    <w:multiLevelType w:val="hybridMultilevel"/>
    <w:tmpl w:val="CACC6CD2"/>
    <w:lvl w:ilvl="0" w:tplc="62EEA1A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8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9"/>
  </w:num>
  <w:num w:numId="4">
    <w:abstractNumId w:val="10"/>
  </w:num>
  <w:num w:numId="5">
    <w:abstractNumId w:val="35"/>
  </w:num>
  <w:num w:numId="6">
    <w:abstractNumId w:val="28"/>
  </w:num>
  <w:num w:numId="7">
    <w:abstractNumId w:val="47"/>
    <w:lvlOverride w:ilvl="0">
      <w:startOverride w:val="1"/>
    </w:lvlOverride>
  </w:num>
  <w:num w:numId="8">
    <w:abstractNumId w:val="23"/>
  </w:num>
  <w:num w:numId="9">
    <w:abstractNumId w:val="9"/>
  </w:num>
  <w:num w:numId="10">
    <w:abstractNumId w:val="45"/>
  </w:num>
  <w:num w:numId="11">
    <w:abstractNumId w:val="4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5"/>
  </w:num>
  <w:num w:numId="15">
    <w:abstractNumId w:val="37"/>
  </w:num>
  <w:num w:numId="16">
    <w:abstractNumId w:val="11"/>
  </w:num>
  <w:num w:numId="17">
    <w:abstractNumId w:val="41"/>
  </w:num>
  <w:num w:numId="18">
    <w:abstractNumId w:val="50"/>
  </w:num>
  <w:num w:numId="19">
    <w:abstractNumId w:val="48"/>
  </w:num>
  <w:num w:numId="20">
    <w:abstractNumId w:val="24"/>
  </w:num>
  <w:num w:numId="21">
    <w:abstractNumId w:val="14"/>
  </w:num>
  <w:num w:numId="22">
    <w:abstractNumId w:val="30"/>
  </w:num>
  <w:num w:numId="23">
    <w:abstractNumId w:val="31"/>
  </w:num>
  <w:num w:numId="24">
    <w:abstractNumId w:val="29"/>
  </w:num>
  <w:num w:numId="25">
    <w:abstractNumId w:val="36"/>
  </w:num>
  <w:num w:numId="26">
    <w:abstractNumId w:val="39"/>
  </w:num>
  <w:num w:numId="27">
    <w:abstractNumId w:val="19"/>
  </w:num>
  <w:num w:numId="28">
    <w:abstractNumId w:val="32"/>
  </w:num>
  <w:num w:numId="29">
    <w:abstractNumId w:val="38"/>
  </w:num>
  <w:num w:numId="30">
    <w:abstractNumId w:val="18"/>
  </w:num>
  <w:num w:numId="31">
    <w:abstractNumId w:val="43"/>
  </w:num>
  <w:num w:numId="32">
    <w:abstractNumId w:val="26"/>
  </w:num>
  <w:num w:numId="33">
    <w:abstractNumId w:val="13"/>
  </w:num>
  <w:num w:numId="34">
    <w:abstractNumId w:val="12"/>
  </w:num>
  <w:num w:numId="35">
    <w:abstractNumId w:val="20"/>
  </w:num>
  <w:num w:numId="36">
    <w:abstractNumId w:val="46"/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7"/>
  </w:num>
  <w:num w:numId="43">
    <w:abstractNumId w:val="16"/>
  </w:num>
  <w:num w:numId="44">
    <w:abstractNumId w:val="40"/>
  </w:num>
  <w:num w:numId="45">
    <w:abstractNumId w:val="42"/>
  </w:num>
  <w:num w:numId="4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75A9"/>
    <w:rsid w:val="00087AF1"/>
    <w:rsid w:val="00096855"/>
    <w:rsid w:val="00096DF5"/>
    <w:rsid w:val="000975D6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336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5C95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463B"/>
    <w:rsid w:val="002D4D5A"/>
    <w:rsid w:val="002E2C97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26CB"/>
    <w:rsid w:val="003A5826"/>
    <w:rsid w:val="003A6676"/>
    <w:rsid w:val="003A6784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35C8"/>
    <w:rsid w:val="006536C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96C07"/>
    <w:rsid w:val="006A0734"/>
    <w:rsid w:val="006A22F0"/>
    <w:rsid w:val="006A4C13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D7813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D41"/>
    <w:rsid w:val="008F5FE6"/>
    <w:rsid w:val="008F7E32"/>
    <w:rsid w:val="008F7F39"/>
    <w:rsid w:val="00901D5A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490B"/>
    <w:rsid w:val="00927E47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D70E7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41182"/>
    <w:rsid w:val="00A434C2"/>
    <w:rsid w:val="00A440CD"/>
    <w:rsid w:val="00A455E7"/>
    <w:rsid w:val="00A4689C"/>
    <w:rsid w:val="00A50176"/>
    <w:rsid w:val="00A5349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513E"/>
    <w:rsid w:val="00C05149"/>
    <w:rsid w:val="00C066AB"/>
    <w:rsid w:val="00C06701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617D8"/>
    <w:rsid w:val="00D64575"/>
    <w:rsid w:val="00D64EA9"/>
    <w:rsid w:val="00D700E2"/>
    <w:rsid w:val="00D74DE4"/>
    <w:rsid w:val="00D81146"/>
    <w:rsid w:val="00D90309"/>
    <w:rsid w:val="00D9413D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EDDD-26C5-4527-BC2E-A345CF31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3277</TotalTime>
  <Pages>18</Pages>
  <Words>6686</Words>
  <Characters>40118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Skotnicka</cp:lastModifiedBy>
  <cp:revision>135</cp:revision>
  <cp:lastPrinted>2024-10-30T09:52:00Z</cp:lastPrinted>
  <dcterms:created xsi:type="dcterms:W3CDTF">2021-06-27T19:50:00Z</dcterms:created>
  <dcterms:modified xsi:type="dcterms:W3CDTF">2024-12-04T11:22:00Z</dcterms:modified>
</cp:coreProperties>
</file>