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6B5496">
        <w:rPr>
          <w:rFonts w:ascii="Times New Roman" w:eastAsia="Times New Roman" w:hAnsi="Times New Roman" w:cs="Times New Roman"/>
          <w:b/>
          <w:bCs/>
          <w:szCs w:val="20"/>
        </w:rPr>
        <w:t>3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6B5496">
        <w:rPr>
          <w:rFonts w:ascii="Times New Roman" w:eastAsia="Times New Roman" w:hAnsi="Times New Roman" w:cs="Times New Roman"/>
          <w:b/>
          <w:bCs/>
          <w:szCs w:val="20"/>
        </w:rPr>
        <w:t>10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1C39F5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3</w:t>
      </w:r>
      <w:r w:rsidR="00E44906">
        <w:rPr>
          <w:rFonts w:ascii="Times New Roman" w:eastAsia="Times New Roman" w:hAnsi="Times New Roman" w:cs="Times New Roman"/>
          <w:b/>
          <w:bCs/>
          <w:szCs w:val="20"/>
        </w:rPr>
        <w:t>A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B5496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A71994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V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:rsidR="00E260B3" w:rsidRPr="00A82A37" w:rsidRDefault="00E44906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E44906">
        <w:rPr>
          <w:rFonts w:ascii="Times New Roman" w:eastAsia="Times New Roman" w:hAnsi="Times New Roman" w:cs="Times New Roman"/>
          <w:b/>
          <w:szCs w:val="20"/>
        </w:rPr>
        <w:t>wykaz narzędzi, wyposażenia zakładu lub urządzeń technicznych dostępnych wykonawcy w celu wykonania zamówienia publicznego</w:t>
      </w:r>
    </w:p>
    <w:p w:rsidR="00D05E81" w:rsidRDefault="00E260B3" w:rsidP="00D05E81">
      <w:pPr>
        <w:jc w:val="center"/>
        <w:rPr>
          <w:rFonts w:ascii="Times New Roman" w:hAnsi="Times New Roman"/>
          <w:szCs w:val="24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podstawowym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1C39F5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C91F13" w:rsidRPr="00C91F13">
        <w:rPr>
          <w:rFonts w:ascii="Times New Roman" w:hAnsi="Times New Roman"/>
          <w:b/>
          <w:bCs/>
        </w:rPr>
        <w:t>Naprawy mechaniczne pojazdów Wojewódzkiej Stacji Pogotowia Ratunkowego w Szczecinie przez 12 miesięcy</w:t>
      </w:r>
      <w:r w:rsidR="004F177E">
        <w:rPr>
          <w:rFonts w:ascii="Times New Roman" w:hAnsi="Times New Roman"/>
          <w:b/>
          <w:bCs/>
        </w:rPr>
        <w:t>.</w:t>
      </w:r>
    </w:p>
    <w:p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p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</w:p>
    <w:tbl>
      <w:tblPr>
        <w:tblStyle w:val="Tabela-Siatka1"/>
        <w:tblW w:w="0" w:type="auto"/>
        <w:jc w:val="center"/>
        <w:tblLook w:val="04A0"/>
      </w:tblPr>
      <w:tblGrid>
        <w:gridCol w:w="673"/>
        <w:gridCol w:w="5387"/>
        <w:gridCol w:w="2700"/>
        <w:gridCol w:w="1455"/>
        <w:gridCol w:w="1372"/>
      </w:tblGrid>
      <w:tr w:rsidR="00E44906" w:rsidRPr="00E44906" w:rsidTr="00E44906">
        <w:trPr>
          <w:jc w:val="center"/>
        </w:trPr>
        <w:tc>
          <w:tcPr>
            <w:tcW w:w="673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LP</w:t>
            </w:r>
          </w:p>
        </w:tc>
        <w:tc>
          <w:tcPr>
            <w:tcW w:w="5387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Typ/ charakterystyka/ parametry sprzętu</w:t>
            </w:r>
          </w:p>
        </w:tc>
        <w:tc>
          <w:tcPr>
            <w:tcW w:w="2700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Minimalna liczba jednostek</w:t>
            </w:r>
          </w:p>
        </w:tc>
        <w:tc>
          <w:tcPr>
            <w:tcW w:w="1455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Posiadana liczba jednostek</w:t>
            </w:r>
          </w:p>
        </w:tc>
        <w:tc>
          <w:tcPr>
            <w:tcW w:w="1231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Podstawa dysponowania</w:t>
            </w:r>
          </w:p>
        </w:tc>
      </w:tr>
      <w:tr w:rsidR="00E44906" w:rsidRPr="00E44906" w:rsidTr="00E44906">
        <w:trPr>
          <w:jc w:val="center"/>
        </w:trPr>
        <w:tc>
          <w:tcPr>
            <w:tcW w:w="673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1</w:t>
            </w:r>
          </w:p>
        </w:tc>
        <w:tc>
          <w:tcPr>
            <w:tcW w:w="5387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 xml:space="preserve">Stacja Obsługi zlokalizowana w odległości o promieniu 10 km od miasta Szczecin (pomiar będzie wykonany na podstawie Google </w:t>
            </w:r>
            <w:proofErr w:type="spellStart"/>
            <w:r w:rsidRPr="00E44906">
              <w:rPr>
                <w:lang w:eastAsia="ar-SA"/>
              </w:rPr>
              <w:t>Maps</w:t>
            </w:r>
            <w:proofErr w:type="spellEnd"/>
            <w:r w:rsidRPr="00E44906">
              <w:rPr>
                <w:lang w:eastAsia="ar-SA"/>
              </w:rPr>
              <w:t>), posiadająca min. 3 stanowiska do obsługi napraw układu zawieszenia i kierowniczego, remontu silnika oraz instalacji elektrycznej - wysokość wjazdu do warsztatu – min. 350 cm dla pojazdów do 3,5 t</w:t>
            </w:r>
          </w:p>
        </w:tc>
        <w:tc>
          <w:tcPr>
            <w:tcW w:w="2700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  <w:r w:rsidRPr="00E44906">
              <w:rPr>
                <w:lang w:eastAsia="ar-SA"/>
              </w:rPr>
              <w:t>1</w:t>
            </w:r>
          </w:p>
        </w:tc>
        <w:tc>
          <w:tcPr>
            <w:tcW w:w="1455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E44906" w:rsidRPr="00E44906" w:rsidTr="00E44906">
        <w:trPr>
          <w:jc w:val="center"/>
        </w:trPr>
        <w:tc>
          <w:tcPr>
            <w:tcW w:w="673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2</w:t>
            </w:r>
          </w:p>
        </w:tc>
        <w:tc>
          <w:tcPr>
            <w:tcW w:w="5387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Samochodowy dźwignik diagnostyczny (posiadający świadectwo dopuszczania do eksploatacji przez DT)</w:t>
            </w:r>
          </w:p>
        </w:tc>
        <w:tc>
          <w:tcPr>
            <w:tcW w:w="2700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  <w:r w:rsidRPr="00E44906">
              <w:rPr>
                <w:lang w:eastAsia="ar-SA"/>
              </w:rPr>
              <w:t>2</w:t>
            </w:r>
          </w:p>
        </w:tc>
        <w:tc>
          <w:tcPr>
            <w:tcW w:w="1455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E44906" w:rsidRPr="00E44906" w:rsidTr="00E44906">
        <w:trPr>
          <w:jc w:val="center"/>
        </w:trPr>
        <w:tc>
          <w:tcPr>
            <w:tcW w:w="673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3</w:t>
            </w:r>
          </w:p>
        </w:tc>
        <w:tc>
          <w:tcPr>
            <w:tcW w:w="5387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Urządzenie do kontroli i ustawiania świateł</w:t>
            </w:r>
          </w:p>
        </w:tc>
        <w:tc>
          <w:tcPr>
            <w:tcW w:w="2700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  <w:r w:rsidRPr="00E44906">
              <w:rPr>
                <w:lang w:eastAsia="ar-SA"/>
              </w:rPr>
              <w:t>1</w:t>
            </w:r>
          </w:p>
        </w:tc>
        <w:tc>
          <w:tcPr>
            <w:tcW w:w="1455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E44906" w:rsidRPr="00E44906" w:rsidTr="00E44906">
        <w:trPr>
          <w:jc w:val="center"/>
        </w:trPr>
        <w:tc>
          <w:tcPr>
            <w:tcW w:w="673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4</w:t>
            </w:r>
          </w:p>
        </w:tc>
        <w:tc>
          <w:tcPr>
            <w:tcW w:w="5387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Urządzenie do badania ciśnienia w silnikach nisko i wysokoprężnych</w:t>
            </w:r>
          </w:p>
        </w:tc>
        <w:tc>
          <w:tcPr>
            <w:tcW w:w="2700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  <w:r w:rsidRPr="00E44906">
              <w:rPr>
                <w:lang w:eastAsia="ar-SA"/>
              </w:rPr>
              <w:t>1</w:t>
            </w:r>
          </w:p>
        </w:tc>
        <w:tc>
          <w:tcPr>
            <w:tcW w:w="1455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E44906" w:rsidRPr="00E44906" w:rsidTr="00E44906">
        <w:trPr>
          <w:jc w:val="center"/>
        </w:trPr>
        <w:tc>
          <w:tcPr>
            <w:tcW w:w="673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5</w:t>
            </w:r>
          </w:p>
        </w:tc>
        <w:tc>
          <w:tcPr>
            <w:tcW w:w="5387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Diagnostyka komputerowa silników i układów elektronicznych - Tester diagnostyczny wyposażony w dostęp do danych producenta wraz z aktualizacją i programowaniem sterowników on-line</w:t>
            </w:r>
          </w:p>
        </w:tc>
        <w:tc>
          <w:tcPr>
            <w:tcW w:w="2700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  <w:r w:rsidRPr="00E44906">
              <w:rPr>
                <w:lang w:eastAsia="ar-SA"/>
              </w:rPr>
              <w:t>1</w:t>
            </w:r>
          </w:p>
        </w:tc>
        <w:tc>
          <w:tcPr>
            <w:tcW w:w="1455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E44906" w:rsidRPr="00E44906" w:rsidTr="00E44906">
        <w:trPr>
          <w:jc w:val="center"/>
        </w:trPr>
        <w:tc>
          <w:tcPr>
            <w:tcW w:w="673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6</w:t>
            </w:r>
          </w:p>
        </w:tc>
        <w:tc>
          <w:tcPr>
            <w:tcW w:w="5387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Analizator spalin</w:t>
            </w:r>
          </w:p>
        </w:tc>
        <w:tc>
          <w:tcPr>
            <w:tcW w:w="2700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  <w:r w:rsidRPr="00E44906">
              <w:rPr>
                <w:lang w:eastAsia="ar-SA"/>
              </w:rPr>
              <w:t>1</w:t>
            </w:r>
          </w:p>
        </w:tc>
        <w:tc>
          <w:tcPr>
            <w:tcW w:w="1455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E44906" w:rsidRPr="00E44906" w:rsidTr="00E44906">
        <w:trPr>
          <w:jc w:val="center"/>
        </w:trPr>
        <w:tc>
          <w:tcPr>
            <w:tcW w:w="673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7</w:t>
            </w:r>
          </w:p>
        </w:tc>
        <w:tc>
          <w:tcPr>
            <w:tcW w:w="5387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Urządzenie prostowniczo- rozruchowe</w:t>
            </w:r>
          </w:p>
        </w:tc>
        <w:tc>
          <w:tcPr>
            <w:tcW w:w="2700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  <w:r w:rsidRPr="00E44906">
              <w:rPr>
                <w:lang w:eastAsia="ar-SA"/>
              </w:rPr>
              <w:t>1</w:t>
            </w:r>
          </w:p>
        </w:tc>
        <w:tc>
          <w:tcPr>
            <w:tcW w:w="1455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E44906" w:rsidRPr="00E44906" w:rsidTr="00E44906">
        <w:trPr>
          <w:jc w:val="center"/>
        </w:trPr>
        <w:tc>
          <w:tcPr>
            <w:tcW w:w="673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8</w:t>
            </w:r>
          </w:p>
        </w:tc>
        <w:tc>
          <w:tcPr>
            <w:tcW w:w="5387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E44906">
              <w:rPr>
                <w:lang w:eastAsia="ar-SA"/>
              </w:rPr>
              <w:t>Migomat</w:t>
            </w:r>
            <w:proofErr w:type="spellEnd"/>
          </w:p>
        </w:tc>
        <w:tc>
          <w:tcPr>
            <w:tcW w:w="2700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  <w:r w:rsidRPr="00E44906">
              <w:rPr>
                <w:lang w:eastAsia="ar-SA"/>
              </w:rPr>
              <w:t>1</w:t>
            </w:r>
          </w:p>
        </w:tc>
        <w:tc>
          <w:tcPr>
            <w:tcW w:w="1455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E44906" w:rsidRPr="00E44906" w:rsidTr="00E44906">
        <w:trPr>
          <w:jc w:val="center"/>
        </w:trPr>
        <w:tc>
          <w:tcPr>
            <w:tcW w:w="673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lastRenderedPageBreak/>
              <w:t>9</w:t>
            </w:r>
          </w:p>
        </w:tc>
        <w:tc>
          <w:tcPr>
            <w:tcW w:w="5387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Klucz dynamometryczny</w:t>
            </w:r>
          </w:p>
        </w:tc>
        <w:tc>
          <w:tcPr>
            <w:tcW w:w="2700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  <w:r w:rsidRPr="00E44906">
              <w:rPr>
                <w:lang w:eastAsia="ar-SA"/>
              </w:rPr>
              <w:t>1</w:t>
            </w:r>
          </w:p>
        </w:tc>
        <w:tc>
          <w:tcPr>
            <w:tcW w:w="1455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E44906" w:rsidRPr="00E44906" w:rsidTr="00E44906">
        <w:trPr>
          <w:jc w:val="center"/>
        </w:trPr>
        <w:tc>
          <w:tcPr>
            <w:tcW w:w="673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10</w:t>
            </w:r>
          </w:p>
        </w:tc>
        <w:tc>
          <w:tcPr>
            <w:tcW w:w="5387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Tester diagnostyczny akumulatorów, rozruszników i alternatorów</w:t>
            </w:r>
          </w:p>
        </w:tc>
        <w:tc>
          <w:tcPr>
            <w:tcW w:w="2700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  <w:r w:rsidRPr="00E44906">
              <w:rPr>
                <w:lang w:eastAsia="ar-SA"/>
              </w:rPr>
              <w:t>1</w:t>
            </w:r>
          </w:p>
        </w:tc>
        <w:tc>
          <w:tcPr>
            <w:tcW w:w="1455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E44906" w:rsidRPr="00E44906" w:rsidTr="00E44906">
        <w:trPr>
          <w:jc w:val="center"/>
        </w:trPr>
        <w:tc>
          <w:tcPr>
            <w:tcW w:w="673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11</w:t>
            </w:r>
          </w:p>
        </w:tc>
        <w:tc>
          <w:tcPr>
            <w:tcW w:w="5387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Oscyloskop</w:t>
            </w:r>
          </w:p>
        </w:tc>
        <w:tc>
          <w:tcPr>
            <w:tcW w:w="2700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  <w:r w:rsidRPr="00E44906">
              <w:rPr>
                <w:lang w:eastAsia="ar-SA"/>
              </w:rPr>
              <w:t>1</w:t>
            </w:r>
          </w:p>
        </w:tc>
        <w:tc>
          <w:tcPr>
            <w:tcW w:w="1455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E44906" w:rsidRPr="00E44906" w:rsidTr="00E44906">
        <w:trPr>
          <w:jc w:val="center"/>
        </w:trPr>
        <w:tc>
          <w:tcPr>
            <w:tcW w:w="673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12</w:t>
            </w:r>
          </w:p>
        </w:tc>
        <w:tc>
          <w:tcPr>
            <w:tcW w:w="5387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Stanowisko do sprawdzenia pomp i wtryskiwaczy</w:t>
            </w:r>
          </w:p>
        </w:tc>
        <w:tc>
          <w:tcPr>
            <w:tcW w:w="2700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  <w:r w:rsidRPr="00E44906">
              <w:rPr>
                <w:lang w:eastAsia="ar-SA"/>
              </w:rPr>
              <w:t>1</w:t>
            </w:r>
          </w:p>
        </w:tc>
        <w:tc>
          <w:tcPr>
            <w:tcW w:w="1455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E44906" w:rsidRPr="00E44906" w:rsidTr="00E44906">
        <w:trPr>
          <w:jc w:val="center"/>
        </w:trPr>
        <w:tc>
          <w:tcPr>
            <w:tcW w:w="673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13</w:t>
            </w:r>
          </w:p>
        </w:tc>
        <w:tc>
          <w:tcPr>
            <w:tcW w:w="5387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Urządzenie do dynamicznej wymiany oleju w skrzyniach automatycznych</w:t>
            </w:r>
          </w:p>
        </w:tc>
        <w:tc>
          <w:tcPr>
            <w:tcW w:w="2700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  <w:r w:rsidRPr="00E44906">
              <w:rPr>
                <w:lang w:eastAsia="ar-SA"/>
              </w:rPr>
              <w:t>1</w:t>
            </w:r>
          </w:p>
        </w:tc>
        <w:tc>
          <w:tcPr>
            <w:tcW w:w="1455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E44906" w:rsidRPr="00E44906" w:rsidTr="00E44906">
        <w:trPr>
          <w:jc w:val="center"/>
        </w:trPr>
        <w:tc>
          <w:tcPr>
            <w:tcW w:w="673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14</w:t>
            </w:r>
          </w:p>
        </w:tc>
        <w:tc>
          <w:tcPr>
            <w:tcW w:w="5387" w:type="dxa"/>
          </w:tcPr>
          <w:p w:rsidR="00E44906" w:rsidRPr="00E44906" w:rsidRDefault="00E44906" w:rsidP="00E44906">
            <w:pPr>
              <w:suppressAutoHyphens/>
              <w:jc w:val="both"/>
              <w:rPr>
                <w:lang w:eastAsia="ar-SA"/>
              </w:rPr>
            </w:pPr>
            <w:r w:rsidRPr="00E44906">
              <w:rPr>
                <w:lang w:eastAsia="ar-SA"/>
              </w:rPr>
              <w:t>Narzędzia specjalne do usuwania zapieczonych wtryskiwaczy i świec żarowych</w:t>
            </w:r>
          </w:p>
        </w:tc>
        <w:tc>
          <w:tcPr>
            <w:tcW w:w="2700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  <w:r w:rsidRPr="00E44906">
              <w:rPr>
                <w:lang w:eastAsia="ar-SA"/>
              </w:rPr>
              <w:t>1</w:t>
            </w:r>
          </w:p>
        </w:tc>
        <w:tc>
          <w:tcPr>
            <w:tcW w:w="1455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</w:tcPr>
          <w:p w:rsidR="00E44906" w:rsidRPr="00E44906" w:rsidRDefault="00E44906" w:rsidP="00E44906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136B92" w:rsidRPr="00A82A37" w:rsidRDefault="00136B92" w:rsidP="00FF35D4">
      <w:pPr>
        <w:rPr>
          <w:rFonts w:ascii="Times New Roman" w:hAnsi="Times New Roman" w:cs="Times New Roman"/>
          <w:sz w:val="24"/>
          <w:vertAlign w:val="superscript"/>
        </w:rPr>
      </w:pPr>
    </w:p>
    <w:p w:rsidR="001030DC" w:rsidRPr="00A82A37" w:rsidRDefault="001030DC" w:rsidP="00FF35D4">
      <w:pPr>
        <w:rPr>
          <w:rFonts w:ascii="Times New Roman" w:hAnsi="Times New Roman" w:cs="Times New Roman"/>
          <w:sz w:val="24"/>
          <w:vertAlign w:val="superscript"/>
        </w:rPr>
      </w:pPr>
    </w:p>
    <w:sectPr w:rsidR="001030DC" w:rsidRPr="00A82A37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14B" w:rsidRDefault="0050614B" w:rsidP="00D71B9E">
      <w:pPr>
        <w:spacing w:after="0" w:line="240" w:lineRule="auto"/>
      </w:pPr>
      <w:r>
        <w:separator/>
      </w:r>
    </w:p>
  </w:endnote>
  <w:endnote w:type="continuationSeparator" w:id="1">
    <w:p w:rsidR="0050614B" w:rsidRDefault="0050614B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F13ACE" w:rsidRDefault="00F13ACE" w:rsidP="00F13ACE">
    <w:pPr>
      <w:pStyle w:val="Stopka"/>
      <w:jc w:val="right"/>
    </w:pPr>
  </w:p>
  <w:p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3D438C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3D438C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6B5496">
      <w:rPr>
        <w:rFonts w:ascii="Arial" w:hAnsi="Arial" w:cs="Arial"/>
        <w:b/>
        <w:bCs/>
        <w:noProof/>
        <w:sz w:val="14"/>
        <w:szCs w:val="14"/>
      </w:rPr>
      <w:t>2</w:t>
    </w:r>
    <w:r w:rsidR="003D438C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3D438C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3D438C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6B5496">
      <w:rPr>
        <w:rFonts w:ascii="Arial" w:hAnsi="Arial" w:cs="Arial"/>
        <w:b/>
        <w:bCs/>
        <w:noProof/>
        <w:sz w:val="14"/>
        <w:szCs w:val="14"/>
      </w:rPr>
      <w:t>2</w:t>
    </w:r>
    <w:r w:rsidR="003D438C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9B09B2" w:rsidRDefault="009B09B2" w:rsidP="005A706B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F13ACE" w:rsidRDefault="00F13ACE" w:rsidP="00F13ACE">
    <w:pPr>
      <w:pStyle w:val="Stopka"/>
      <w:jc w:val="right"/>
    </w:pPr>
  </w:p>
  <w:p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3D438C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3D438C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6B5496">
      <w:rPr>
        <w:rFonts w:ascii="Arial" w:hAnsi="Arial" w:cs="Arial"/>
        <w:b/>
        <w:bCs/>
        <w:noProof/>
        <w:sz w:val="14"/>
        <w:szCs w:val="14"/>
      </w:rPr>
      <w:t>1</w:t>
    </w:r>
    <w:r w:rsidR="003D438C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3D438C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3D438C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6B5496">
      <w:rPr>
        <w:rFonts w:ascii="Arial" w:hAnsi="Arial" w:cs="Arial"/>
        <w:b/>
        <w:bCs/>
        <w:noProof/>
        <w:sz w:val="14"/>
        <w:szCs w:val="14"/>
      </w:rPr>
      <w:t>2</w:t>
    </w:r>
    <w:r w:rsidR="003D438C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F13ACE" w:rsidRDefault="00F13A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14B" w:rsidRDefault="0050614B" w:rsidP="00D71B9E">
      <w:pPr>
        <w:spacing w:after="0" w:line="240" w:lineRule="auto"/>
      </w:pPr>
      <w:r>
        <w:separator/>
      </w:r>
    </w:p>
  </w:footnote>
  <w:footnote w:type="continuationSeparator" w:id="1">
    <w:p w:rsidR="0050614B" w:rsidRDefault="0050614B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39F5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438C"/>
    <w:rsid w:val="003D5AA5"/>
    <w:rsid w:val="003D5B08"/>
    <w:rsid w:val="003D6302"/>
    <w:rsid w:val="003D651B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14B"/>
    <w:rsid w:val="00506DD9"/>
    <w:rsid w:val="00507453"/>
    <w:rsid w:val="00507E78"/>
    <w:rsid w:val="0051101D"/>
    <w:rsid w:val="00511045"/>
    <w:rsid w:val="00512444"/>
    <w:rsid w:val="005149DF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57C9"/>
    <w:rsid w:val="00685AE1"/>
    <w:rsid w:val="006A10B8"/>
    <w:rsid w:val="006A4F48"/>
    <w:rsid w:val="006A5103"/>
    <w:rsid w:val="006B1B9D"/>
    <w:rsid w:val="006B2877"/>
    <w:rsid w:val="006B5496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5E0A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213D"/>
    <w:rsid w:val="00BB35D9"/>
    <w:rsid w:val="00BC3F04"/>
    <w:rsid w:val="00BC5CB7"/>
    <w:rsid w:val="00BC5F62"/>
    <w:rsid w:val="00BD26C5"/>
    <w:rsid w:val="00BD486E"/>
    <w:rsid w:val="00BD7851"/>
    <w:rsid w:val="00BE3F87"/>
    <w:rsid w:val="00BF0445"/>
    <w:rsid w:val="00BF2FB1"/>
    <w:rsid w:val="00BF3EB2"/>
    <w:rsid w:val="00C05441"/>
    <w:rsid w:val="00C1448C"/>
    <w:rsid w:val="00C22780"/>
    <w:rsid w:val="00C34F07"/>
    <w:rsid w:val="00C42AD4"/>
    <w:rsid w:val="00C47C67"/>
    <w:rsid w:val="00C50BDD"/>
    <w:rsid w:val="00C70311"/>
    <w:rsid w:val="00C712F6"/>
    <w:rsid w:val="00C72521"/>
    <w:rsid w:val="00C772F5"/>
    <w:rsid w:val="00C91F13"/>
    <w:rsid w:val="00C9242E"/>
    <w:rsid w:val="00C93C0C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44906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Plandokumentu">
    <w:name w:val="Document Map"/>
    <w:basedOn w:val="Normalny"/>
    <w:link w:val="Plan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4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m_optacy</cp:lastModifiedBy>
  <cp:revision>2</cp:revision>
  <cp:lastPrinted>2020-08-28T07:32:00Z</cp:lastPrinted>
  <dcterms:created xsi:type="dcterms:W3CDTF">2023-09-07T07:08:00Z</dcterms:created>
  <dcterms:modified xsi:type="dcterms:W3CDTF">2023-09-07T07:08:00Z</dcterms:modified>
</cp:coreProperties>
</file>