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D9" w:rsidRPr="00906597" w:rsidRDefault="00631BD1" w:rsidP="00FF745D">
      <w:pPr>
        <w:widowControl w:val="0"/>
        <w:autoSpaceDE w:val="0"/>
        <w:autoSpaceDN w:val="0"/>
        <w:adjustRightInd w:val="0"/>
        <w:spacing w:after="0" w:line="23" w:lineRule="atLeast"/>
        <w:rPr>
          <w:rFonts w:cs="Century Gothic"/>
          <w:color w:val="000000"/>
          <w:sz w:val="24"/>
          <w:szCs w:val="24"/>
        </w:rPr>
      </w:pPr>
      <w:r w:rsidRPr="00906597">
        <w:rPr>
          <w:rFonts w:cs="Century Gothic"/>
          <w:color w:val="000000"/>
          <w:sz w:val="24"/>
          <w:szCs w:val="24"/>
        </w:rPr>
        <w:t>Sulejów</w:t>
      </w:r>
      <w:r w:rsidR="00E3513B" w:rsidRPr="00906597">
        <w:rPr>
          <w:rFonts w:cs="Century Gothic"/>
          <w:color w:val="000000"/>
          <w:sz w:val="24"/>
          <w:szCs w:val="24"/>
        </w:rPr>
        <w:t xml:space="preserve">, </w:t>
      </w:r>
      <w:r w:rsidR="00906597" w:rsidRPr="00906597">
        <w:rPr>
          <w:rFonts w:cs="Century Gothic"/>
          <w:color w:val="000000"/>
          <w:sz w:val="24"/>
          <w:szCs w:val="24"/>
        </w:rPr>
        <w:t>22.12.</w:t>
      </w:r>
      <w:r w:rsidR="00063F9E" w:rsidRPr="00906597">
        <w:rPr>
          <w:rFonts w:cs="Century Gothic"/>
          <w:color w:val="000000"/>
          <w:sz w:val="24"/>
          <w:szCs w:val="24"/>
        </w:rPr>
        <w:t>2023</w:t>
      </w:r>
      <w:r w:rsidR="00933723" w:rsidRPr="00906597">
        <w:rPr>
          <w:rFonts w:cs="Century Gothic"/>
          <w:color w:val="000000"/>
          <w:sz w:val="24"/>
          <w:szCs w:val="24"/>
        </w:rPr>
        <w:t xml:space="preserve"> </w:t>
      </w:r>
      <w:proofErr w:type="gramStart"/>
      <w:r w:rsidR="00933723" w:rsidRPr="00906597">
        <w:rPr>
          <w:rFonts w:cs="Century Gothic"/>
          <w:color w:val="000000"/>
          <w:sz w:val="24"/>
          <w:szCs w:val="24"/>
        </w:rPr>
        <w:t>r</w:t>
      </w:r>
      <w:proofErr w:type="gramEnd"/>
      <w:r w:rsidR="00933723" w:rsidRPr="00906597">
        <w:rPr>
          <w:rFonts w:cs="Century Gothic"/>
          <w:color w:val="000000"/>
          <w:sz w:val="24"/>
          <w:szCs w:val="24"/>
        </w:rPr>
        <w:t>.</w:t>
      </w:r>
    </w:p>
    <w:p w:rsidR="00906597" w:rsidRDefault="00906597" w:rsidP="00FF745D">
      <w:pPr>
        <w:widowControl w:val="0"/>
        <w:autoSpaceDE w:val="0"/>
        <w:autoSpaceDN w:val="0"/>
        <w:adjustRightInd w:val="0"/>
        <w:spacing w:after="0" w:line="23" w:lineRule="atLeast"/>
        <w:rPr>
          <w:rFonts w:cs="Century Gothic"/>
          <w:color w:val="000000"/>
          <w:sz w:val="24"/>
          <w:szCs w:val="24"/>
        </w:rPr>
      </w:pPr>
    </w:p>
    <w:p w:rsidR="00037F3C" w:rsidRPr="00906597" w:rsidRDefault="00037F3C" w:rsidP="00FF745D">
      <w:pPr>
        <w:widowControl w:val="0"/>
        <w:autoSpaceDE w:val="0"/>
        <w:autoSpaceDN w:val="0"/>
        <w:adjustRightInd w:val="0"/>
        <w:spacing w:after="0" w:line="23" w:lineRule="atLeast"/>
        <w:rPr>
          <w:rFonts w:cs="Century Gothic"/>
          <w:color w:val="000000"/>
          <w:sz w:val="24"/>
          <w:szCs w:val="24"/>
        </w:rPr>
      </w:pPr>
      <w:r w:rsidRPr="00906597">
        <w:rPr>
          <w:rFonts w:cs="Century Gothic"/>
          <w:color w:val="000000"/>
          <w:sz w:val="24"/>
          <w:szCs w:val="24"/>
        </w:rPr>
        <w:t>Zamawiający:</w:t>
      </w:r>
    </w:p>
    <w:p w:rsidR="00037F3C" w:rsidRPr="00906597" w:rsidRDefault="00037F3C" w:rsidP="00FF745D">
      <w:pPr>
        <w:widowControl w:val="0"/>
        <w:autoSpaceDE w:val="0"/>
        <w:autoSpaceDN w:val="0"/>
        <w:adjustRightInd w:val="0"/>
        <w:spacing w:after="0" w:line="23" w:lineRule="atLeast"/>
        <w:rPr>
          <w:rFonts w:cs="Century Gothic"/>
          <w:b/>
          <w:color w:val="000000"/>
          <w:sz w:val="24"/>
          <w:szCs w:val="24"/>
        </w:rPr>
      </w:pPr>
      <w:r w:rsidRPr="00906597">
        <w:rPr>
          <w:rFonts w:cs="Century Gothic"/>
          <w:b/>
          <w:color w:val="000000"/>
          <w:sz w:val="24"/>
          <w:szCs w:val="24"/>
        </w:rPr>
        <w:t>Gmina Sulejów</w:t>
      </w:r>
    </w:p>
    <w:p w:rsidR="00037F3C" w:rsidRPr="00906597" w:rsidRDefault="00037F3C" w:rsidP="00FF745D">
      <w:pPr>
        <w:widowControl w:val="0"/>
        <w:autoSpaceDE w:val="0"/>
        <w:autoSpaceDN w:val="0"/>
        <w:adjustRightInd w:val="0"/>
        <w:spacing w:after="0" w:line="23" w:lineRule="atLeast"/>
        <w:rPr>
          <w:rFonts w:cs="Century Gothic"/>
          <w:color w:val="000000"/>
          <w:sz w:val="24"/>
          <w:szCs w:val="24"/>
        </w:rPr>
      </w:pPr>
      <w:proofErr w:type="gramStart"/>
      <w:r w:rsidRPr="00906597">
        <w:rPr>
          <w:rFonts w:cs="Century Gothic"/>
          <w:color w:val="000000"/>
          <w:sz w:val="24"/>
          <w:szCs w:val="24"/>
        </w:rPr>
        <w:t>ul</w:t>
      </w:r>
      <w:proofErr w:type="gramEnd"/>
      <w:r w:rsidRPr="00906597">
        <w:rPr>
          <w:rFonts w:cs="Century Gothic"/>
          <w:color w:val="000000"/>
          <w:sz w:val="24"/>
          <w:szCs w:val="24"/>
        </w:rPr>
        <w:t>. Konecka 42</w:t>
      </w:r>
    </w:p>
    <w:p w:rsidR="00037F3C" w:rsidRPr="00906597" w:rsidRDefault="00037F3C" w:rsidP="00FF745D">
      <w:pPr>
        <w:widowControl w:val="0"/>
        <w:autoSpaceDE w:val="0"/>
        <w:autoSpaceDN w:val="0"/>
        <w:adjustRightInd w:val="0"/>
        <w:spacing w:after="0" w:line="23" w:lineRule="atLeast"/>
        <w:rPr>
          <w:rFonts w:cs="Century Gothic"/>
          <w:color w:val="000000"/>
          <w:sz w:val="24"/>
          <w:szCs w:val="24"/>
        </w:rPr>
      </w:pPr>
      <w:r w:rsidRPr="00906597">
        <w:rPr>
          <w:rFonts w:cs="Century Gothic"/>
          <w:color w:val="000000"/>
          <w:sz w:val="24"/>
          <w:szCs w:val="24"/>
        </w:rPr>
        <w:t>97-330 Sulejów</w:t>
      </w:r>
    </w:p>
    <w:p w:rsidR="00906597" w:rsidRDefault="00906597" w:rsidP="00FF745D">
      <w:pPr>
        <w:widowControl w:val="0"/>
        <w:autoSpaceDE w:val="0"/>
        <w:autoSpaceDN w:val="0"/>
        <w:adjustRightInd w:val="0"/>
        <w:spacing w:after="0" w:line="23" w:lineRule="atLeast"/>
        <w:rPr>
          <w:rFonts w:cs="Century Gothic"/>
          <w:bCs/>
          <w:color w:val="000000"/>
          <w:sz w:val="24"/>
          <w:szCs w:val="24"/>
        </w:rPr>
      </w:pPr>
    </w:p>
    <w:p w:rsidR="00906597" w:rsidRPr="00906597" w:rsidRDefault="00933723" w:rsidP="00FF745D">
      <w:pPr>
        <w:widowControl w:val="0"/>
        <w:autoSpaceDE w:val="0"/>
        <w:autoSpaceDN w:val="0"/>
        <w:adjustRightInd w:val="0"/>
        <w:spacing w:after="0" w:line="23" w:lineRule="atLeast"/>
        <w:rPr>
          <w:rFonts w:cs="Century Gothic"/>
          <w:b/>
          <w:color w:val="000000"/>
          <w:sz w:val="24"/>
          <w:szCs w:val="24"/>
        </w:rPr>
      </w:pPr>
      <w:proofErr w:type="gramStart"/>
      <w:r w:rsidRPr="00906597">
        <w:rPr>
          <w:rFonts w:cs="Century Gothic"/>
          <w:bCs/>
          <w:color w:val="000000"/>
          <w:sz w:val="24"/>
          <w:szCs w:val="24"/>
        </w:rPr>
        <w:t>dotyczy</w:t>
      </w:r>
      <w:proofErr w:type="gramEnd"/>
      <w:r w:rsidRPr="00906597">
        <w:rPr>
          <w:rFonts w:cs="Century Gothic"/>
          <w:bCs/>
          <w:color w:val="000000"/>
          <w:sz w:val="24"/>
          <w:szCs w:val="24"/>
        </w:rPr>
        <w:t>:</w:t>
      </w:r>
      <w:r w:rsidRPr="00906597">
        <w:rPr>
          <w:rFonts w:cs="Century Gothic"/>
          <w:color w:val="000000"/>
          <w:sz w:val="24"/>
          <w:szCs w:val="24"/>
        </w:rPr>
        <w:t xml:space="preserve"> postępowania o udzielenie zamówienia publicznego pn.</w:t>
      </w:r>
      <w:r w:rsidRPr="00906597">
        <w:rPr>
          <w:rFonts w:cs="Century Gothic"/>
          <w:b/>
          <w:color w:val="000000"/>
          <w:sz w:val="24"/>
          <w:szCs w:val="24"/>
        </w:rPr>
        <w:t xml:space="preserve"> </w:t>
      </w:r>
      <w:r w:rsidR="00906597" w:rsidRPr="00906597">
        <w:rPr>
          <w:rFonts w:cs="Century Gothic"/>
          <w:b/>
          <w:color w:val="000000"/>
          <w:sz w:val="24"/>
          <w:szCs w:val="24"/>
        </w:rPr>
        <w:t>Zakup benzyny bezołowiowej 95 oraz oleju napędowego dla Gminy Sulejów i jej jednostki organizacyjnej w 2024 roku</w:t>
      </w:r>
    </w:p>
    <w:p w:rsidR="00906597" w:rsidRPr="00906597" w:rsidRDefault="00906597" w:rsidP="00FF745D">
      <w:pPr>
        <w:widowControl w:val="0"/>
        <w:autoSpaceDE w:val="0"/>
        <w:autoSpaceDN w:val="0"/>
        <w:adjustRightInd w:val="0"/>
        <w:spacing w:after="0" w:line="23" w:lineRule="atLeast"/>
        <w:rPr>
          <w:rFonts w:cs="Century Gothic"/>
          <w:b/>
          <w:color w:val="000000"/>
          <w:sz w:val="24"/>
          <w:szCs w:val="24"/>
        </w:rPr>
      </w:pPr>
      <w:r w:rsidRPr="00906597">
        <w:rPr>
          <w:rFonts w:cs="Century Gothic"/>
          <w:b/>
          <w:color w:val="000000"/>
          <w:sz w:val="24"/>
          <w:szCs w:val="24"/>
        </w:rPr>
        <w:t>Część 1 – Sukcesywna dostawa paliw płynnych do samochodów Urzędu Miejskiego w Sulejowie i jednostek OSP</w:t>
      </w:r>
    </w:p>
    <w:p w:rsidR="00906597" w:rsidRPr="00906597" w:rsidRDefault="00906597" w:rsidP="00FF745D">
      <w:pPr>
        <w:widowControl w:val="0"/>
        <w:autoSpaceDE w:val="0"/>
        <w:autoSpaceDN w:val="0"/>
        <w:adjustRightInd w:val="0"/>
        <w:spacing w:after="0" w:line="23" w:lineRule="atLeast"/>
        <w:rPr>
          <w:rFonts w:cs="Century Gothic"/>
          <w:b/>
          <w:color w:val="000000"/>
          <w:sz w:val="24"/>
          <w:szCs w:val="24"/>
        </w:rPr>
      </w:pPr>
      <w:r w:rsidRPr="00906597">
        <w:rPr>
          <w:rFonts w:cs="Century Gothic"/>
          <w:b/>
          <w:color w:val="000000"/>
          <w:sz w:val="24"/>
          <w:szCs w:val="24"/>
        </w:rPr>
        <w:t>Część 2 - Sukcesywna dostawa paliw płynnych do samochodów i pojazdów Miejskiego Zarządu Komunalnego w Sulejowie</w:t>
      </w:r>
    </w:p>
    <w:p w:rsidR="00906597" w:rsidRDefault="00906597" w:rsidP="00FF745D">
      <w:pPr>
        <w:widowControl w:val="0"/>
        <w:autoSpaceDE w:val="0"/>
        <w:autoSpaceDN w:val="0"/>
        <w:adjustRightInd w:val="0"/>
        <w:spacing w:after="0" w:line="23" w:lineRule="atLeast"/>
        <w:rPr>
          <w:rFonts w:cs="Century Gothic"/>
          <w:bCs/>
          <w:color w:val="000000"/>
          <w:sz w:val="24"/>
          <w:szCs w:val="24"/>
        </w:rPr>
      </w:pPr>
    </w:p>
    <w:p w:rsidR="000721D9" w:rsidRPr="00906597" w:rsidRDefault="00933723" w:rsidP="00FF745D">
      <w:pPr>
        <w:widowControl w:val="0"/>
        <w:autoSpaceDE w:val="0"/>
        <w:autoSpaceDN w:val="0"/>
        <w:adjustRightInd w:val="0"/>
        <w:spacing w:after="0" w:line="23" w:lineRule="atLeast"/>
        <w:rPr>
          <w:rFonts w:cs="Century Gothic"/>
          <w:b/>
          <w:color w:val="000000"/>
          <w:sz w:val="24"/>
          <w:szCs w:val="24"/>
        </w:rPr>
      </w:pPr>
      <w:proofErr w:type="gramStart"/>
      <w:r w:rsidRPr="00906597">
        <w:rPr>
          <w:rFonts w:cs="Century Gothic"/>
          <w:bCs/>
          <w:color w:val="000000"/>
          <w:sz w:val="24"/>
          <w:szCs w:val="24"/>
        </w:rPr>
        <w:t>numer</w:t>
      </w:r>
      <w:proofErr w:type="gramEnd"/>
      <w:r w:rsidRPr="00906597">
        <w:rPr>
          <w:rFonts w:cs="Century Gothic"/>
          <w:bCs/>
          <w:color w:val="000000"/>
          <w:sz w:val="24"/>
          <w:szCs w:val="24"/>
        </w:rPr>
        <w:t xml:space="preserve"> postępowania: </w:t>
      </w:r>
      <w:r w:rsidR="00063F9E" w:rsidRPr="00906597">
        <w:rPr>
          <w:rFonts w:cs="Century Gothic"/>
          <w:b/>
          <w:color w:val="000000"/>
          <w:sz w:val="24"/>
          <w:szCs w:val="24"/>
        </w:rPr>
        <w:t>IZ.</w:t>
      </w:r>
      <w:r w:rsidRPr="00906597">
        <w:rPr>
          <w:rFonts w:cs="Century Gothic"/>
          <w:b/>
          <w:color w:val="000000"/>
          <w:sz w:val="24"/>
          <w:szCs w:val="24"/>
        </w:rPr>
        <w:t>271.</w:t>
      </w:r>
      <w:r w:rsidR="00063F9E" w:rsidRPr="00906597">
        <w:rPr>
          <w:rFonts w:cs="Century Gothic"/>
          <w:b/>
          <w:color w:val="000000"/>
          <w:sz w:val="24"/>
          <w:szCs w:val="24"/>
        </w:rPr>
        <w:t>1.</w:t>
      </w:r>
      <w:r w:rsidR="00906597" w:rsidRPr="00906597">
        <w:rPr>
          <w:rFonts w:cs="Century Gothic"/>
          <w:b/>
          <w:color w:val="000000"/>
          <w:sz w:val="24"/>
          <w:szCs w:val="24"/>
        </w:rPr>
        <w:t>24</w:t>
      </w:r>
      <w:r w:rsidR="00063F9E" w:rsidRPr="00906597">
        <w:rPr>
          <w:rFonts w:cs="Century Gothic"/>
          <w:b/>
          <w:color w:val="000000"/>
          <w:sz w:val="24"/>
          <w:szCs w:val="24"/>
        </w:rPr>
        <w:t>.2023</w:t>
      </w:r>
    </w:p>
    <w:p w:rsidR="00472963" w:rsidRPr="00906597" w:rsidRDefault="00472963" w:rsidP="00FF745D">
      <w:pPr>
        <w:widowControl w:val="0"/>
        <w:autoSpaceDE w:val="0"/>
        <w:autoSpaceDN w:val="0"/>
        <w:adjustRightInd w:val="0"/>
        <w:spacing w:after="0" w:line="23" w:lineRule="atLeast"/>
        <w:rPr>
          <w:rFonts w:cs="Century Gothic"/>
          <w:color w:val="000000"/>
          <w:sz w:val="24"/>
          <w:szCs w:val="24"/>
        </w:rPr>
      </w:pPr>
    </w:p>
    <w:p w:rsidR="005B1F7E" w:rsidRPr="00906597" w:rsidRDefault="005B1F7E" w:rsidP="00FF745D">
      <w:pPr>
        <w:widowControl w:val="0"/>
        <w:autoSpaceDE w:val="0"/>
        <w:autoSpaceDN w:val="0"/>
        <w:adjustRightInd w:val="0"/>
        <w:spacing w:after="0" w:line="23" w:lineRule="atLeast"/>
        <w:rPr>
          <w:rFonts w:cs="Century Gothic"/>
          <w:color w:val="000000"/>
          <w:sz w:val="24"/>
          <w:szCs w:val="24"/>
        </w:rPr>
      </w:pPr>
    </w:p>
    <w:p w:rsidR="00906597" w:rsidRDefault="00906597" w:rsidP="00FF745D">
      <w:pPr>
        <w:tabs>
          <w:tab w:val="left" w:pos="426"/>
        </w:tabs>
        <w:spacing w:after="0" w:line="23" w:lineRule="atLeast"/>
        <w:contextualSpacing/>
        <w:jc w:val="center"/>
        <w:rPr>
          <w:rFonts w:eastAsia="Calibri" w:cs="Times New Roman"/>
          <w:b/>
          <w:color w:val="000000"/>
          <w:sz w:val="24"/>
          <w:szCs w:val="24"/>
          <w:u w:color="000000"/>
        </w:rPr>
      </w:pPr>
      <w:r w:rsidRPr="00906597">
        <w:rPr>
          <w:rFonts w:eastAsia="Calibri" w:cs="Times New Roman"/>
          <w:b/>
          <w:color w:val="000000"/>
          <w:sz w:val="24"/>
          <w:szCs w:val="24"/>
          <w:u w:color="000000"/>
        </w:rPr>
        <w:t>INFORMACJA O UNIEWAŻNIENIU POSTĘPOWANIA W CZĘŚCI 1 I CZĘŚCI 2</w:t>
      </w:r>
    </w:p>
    <w:p w:rsidR="00906597" w:rsidRPr="00906597" w:rsidRDefault="00906597" w:rsidP="00FF745D">
      <w:pPr>
        <w:tabs>
          <w:tab w:val="left" w:pos="426"/>
        </w:tabs>
        <w:spacing w:after="0" w:line="23" w:lineRule="atLeast"/>
        <w:contextualSpacing/>
        <w:rPr>
          <w:rFonts w:eastAsia="Calibri" w:cs="Times New Roman"/>
          <w:b/>
          <w:color w:val="000000"/>
          <w:sz w:val="24"/>
          <w:szCs w:val="24"/>
          <w:u w:color="000000"/>
        </w:rPr>
      </w:pPr>
    </w:p>
    <w:p w:rsidR="00906597" w:rsidRPr="00906597" w:rsidRDefault="00906597" w:rsidP="00FF745D">
      <w:pPr>
        <w:tabs>
          <w:tab w:val="left" w:pos="426"/>
        </w:tabs>
        <w:spacing w:after="0" w:line="23" w:lineRule="atLeast"/>
        <w:rPr>
          <w:rFonts w:eastAsia="Calibri" w:cs="Times New Roman"/>
          <w:b/>
          <w:color w:val="000000"/>
          <w:sz w:val="24"/>
          <w:szCs w:val="24"/>
        </w:rPr>
      </w:pPr>
      <w:r w:rsidRPr="00906597">
        <w:rPr>
          <w:rFonts w:eastAsia="Calibri" w:cs="Times New Roman"/>
          <w:b/>
          <w:color w:val="000000"/>
          <w:sz w:val="24"/>
          <w:szCs w:val="24"/>
        </w:rPr>
        <w:t>Uzasadnienie prawne:</w:t>
      </w:r>
    </w:p>
    <w:p w:rsidR="00906597" w:rsidRPr="00906597" w:rsidRDefault="00906597" w:rsidP="00FF745D">
      <w:pPr>
        <w:tabs>
          <w:tab w:val="left" w:pos="426"/>
        </w:tabs>
        <w:spacing w:after="0" w:line="23" w:lineRule="atLeast"/>
        <w:contextualSpacing/>
        <w:rPr>
          <w:rFonts w:eastAsia="Calibri" w:cs="Times New Roman"/>
          <w:color w:val="000000"/>
          <w:sz w:val="24"/>
          <w:szCs w:val="24"/>
        </w:rPr>
      </w:pPr>
      <w:proofErr w:type="gramStart"/>
      <w:r w:rsidRPr="00906597">
        <w:rPr>
          <w:rFonts w:eastAsia="Calibri" w:cs="Times New Roman"/>
          <w:color w:val="000000"/>
          <w:sz w:val="24"/>
          <w:szCs w:val="24"/>
        </w:rPr>
        <w:t>art</w:t>
      </w:r>
      <w:proofErr w:type="gramEnd"/>
      <w:r w:rsidRPr="00906597">
        <w:rPr>
          <w:rFonts w:eastAsia="Calibri" w:cs="Times New Roman"/>
          <w:color w:val="000000"/>
          <w:sz w:val="24"/>
          <w:szCs w:val="24"/>
        </w:rPr>
        <w:t>. 255 pkt 2 ustawy Pzp</w:t>
      </w:r>
    </w:p>
    <w:p w:rsidR="00906597" w:rsidRPr="00906597" w:rsidRDefault="00906597" w:rsidP="00FF745D">
      <w:pPr>
        <w:tabs>
          <w:tab w:val="left" w:pos="426"/>
        </w:tabs>
        <w:spacing w:after="0" w:line="23" w:lineRule="atLeast"/>
        <w:rPr>
          <w:rFonts w:eastAsia="Calibri" w:cs="Times New Roman"/>
          <w:b/>
          <w:color w:val="000000"/>
          <w:sz w:val="24"/>
          <w:szCs w:val="24"/>
        </w:rPr>
      </w:pPr>
    </w:p>
    <w:p w:rsidR="00906597" w:rsidRPr="00906597" w:rsidRDefault="00906597" w:rsidP="00FF745D">
      <w:pPr>
        <w:tabs>
          <w:tab w:val="left" w:pos="426"/>
        </w:tabs>
        <w:spacing w:after="0" w:line="23" w:lineRule="atLeast"/>
        <w:rPr>
          <w:rFonts w:eastAsia="Calibri" w:cs="Times New Roman"/>
          <w:b/>
          <w:color w:val="000000"/>
          <w:sz w:val="24"/>
          <w:szCs w:val="24"/>
        </w:rPr>
      </w:pPr>
      <w:r w:rsidRPr="00906597">
        <w:rPr>
          <w:rFonts w:eastAsia="Calibri" w:cs="Times New Roman"/>
          <w:b/>
          <w:color w:val="000000"/>
          <w:sz w:val="24"/>
          <w:szCs w:val="24"/>
        </w:rPr>
        <w:t>Uzasadnienie faktyczne:</w:t>
      </w:r>
    </w:p>
    <w:p w:rsidR="00906597" w:rsidRPr="00906597" w:rsidRDefault="00906597" w:rsidP="00FF745D">
      <w:pPr>
        <w:tabs>
          <w:tab w:val="left" w:pos="426"/>
        </w:tabs>
        <w:spacing w:after="0" w:line="23" w:lineRule="atLeast"/>
        <w:contextualSpacing/>
        <w:rPr>
          <w:rFonts w:eastAsia="Calibri" w:cs="Times New Roman"/>
          <w:color w:val="000000"/>
          <w:sz w:val="24"/>
          <w:szCs w:val="24"/>
        </w:rPr>
      </w:pPr>
      <w:bookmarkStart w:id="0" w:name="_GoBack"/>
      <w:bookmarkEnd w:id="0"/>
      <w:r w:rsidRPr="00906597">
        <w:rPr>
          <w:rFonts w:eastAsia="Calibri" w:cs="Times New Roman"/>
          <w:color w:val="000000"/>
          <w:sz w:val="24"/>
          <w:szCs w:val="24"/>
        </w:rPr>
        <w:t xml:space="preserve">W niniejszym postępowanie wpłynęły trzy oferty. Oferta nr 1 i 2 złożona przez firmę B2Mobility GmbH </w:t>
      </w:r>
      <w:proofErr w:type="spellStart"/>
      <w:r w:rsidRPr="00906597">
        <w:rPr>
          <w:rFonts w:eastAsia="Calibri" w:cs="Times New Roman"/>
          <w:color w:val="000000"/>
          <w:sz w:val="24"/>
          <w:szCs w:val="24"/>
        </w:rPr>
        <w:t>Wittener</w:t>
      </w:r>
      <w:proofErr w:type="spellEnd"/>
      <w:r w:rsidRPr="00906597">
        <w:rPr>
          <w:rFonts w:eastAsia="Calibri" w:cs="Times New Roman"/>
          <w:color w:val="000000"/>
          <w:sz w:val="24"/>
          <w:szCs w:val="24"/>
        </w:rPr>
        <w:t xml:space="preserve"> Str. 45 44789 </w:t>
      </w:r>
      <w:proofErr w:type="spellStart"/>
      <w:r w:rsidRPr="00906597">
        <w:rPr>
          <w:rFonts w:eastAsia="Calibri" w:cs="Times New Roman"/>
          <w:color w:val="000000"/>
          <w:sz w:val="24"/>
          <w:szCs w:val="24"/>
        </w:rPr>
        <w:t>Bochum</w:t>
      </w:r>
      <w:proofErr w:type="spellEnd"/>
      <w:r w:rsidRPr="00906597">
        <w:rPr>
          <w:rFonts w:eastAsia="Calibri" w:cs="Times New Roman"/>
          <w:color w:val="000000"/>
          <w:sz w:val="24"/>
          <w:szCs w:val="24"/>
        </w:rPr>
        <w:t>, Niemcy i Oferta nr 3 złożona przez firmę</w:t>
      </w:r>
      <w:r w:rsidRPr="00906597">
        <w:rPr>
          <w:sz w:val="24"/>
          <w:szCs w:val="24"/>
        </w:rPr>
        <w:t xml:space="preserve"> </w:t>
      </w:r>
      <w:r w:rsidRPr="00906597">
        <w:rPr>
          <w:rFonts w:eastAsia="Calibri" w:cs="Times New Roman"/>
          <w:color w:val="000000"/>
          <w:sz w:val="24"/>
          <w:szCs w:val="24"/>
        </w:rPr>
        <w:t xml:space="preserve">Polska Grupa SW Przedsiębiorstwo Państwowe ul. Kocjana 3 01-473 Warszawa. Wykonawca </w:t>
      </w:r>
      <w:r w:rsidRPr="00906597">
        <w:rPr>
          <w:rFonts w:eastAsia="Calibri" w:cs="Times New Roman"/>
          <w:color w:val="000000"/>
          <w:sz w:val="24"/>
          <w:szCs w:val="24"/>
          <w:u w:color="000000"/>
        </w:rPr>
        <w:t>B2Mobility złożył ofertę w dwóch egzemplarzach (pierwsza oferta wpłynęła w dniu 13-12-2023 o godzinie</w:t>
      </w:r>
      <w:proofErr w:type="gramStart"/>
      <w:r w:rsidRPr="00906597">
        <w:rPr>
          <w:rFonts w:eastAsia="Calibri" w:cs="Times New Roman"/>
          <w:color w:val="000000"/>
          <w:sz w:val="24"/>
          <w:szCs w:val="24"/>
          <w:u w:color="000000"/>
        </w:rPr>
        <w:t xml:space="preserve"> 16:51:42, druga</w:t>
      </w:r>
      <w:proofErr w:type="gramEnd"/>
      <w:r w:rsidRPr="00906597">
        <w:rPr>
          <w:rFonts w:eastAsia="Calibri" w:cs="Times New Roman"/>
          <w:color w:val="000000"/>
          <w:sz w:val="24"/>
          <w:szCs w:val="24"/>
          <w:u w:color="000000"/>
        </w:rPr>
        <w:t xml:space="preserve"> oferta wpłynęła w dniu 13-12-2023 o godzinie 17:01:55). Oferty w swej treści są identyczne, wobec czego nie doszło do złożenia dwóch ofert przez jednego wykonawcę, ale dwukrotne złożenie tej samej oferty. Zgodnie z art. 218 ust. 1 ustawy Pzp wykonawca może złożyć tylko jedną ofertę, z wyjątkiem przypadków określonych w ustawie. Jednak, jak słusznie zauważa KIO w wyroku z 13.1.2020 </w:t>
      </w:r>
      <w:proofErr w:type="gramStart"/>
      <w:r w:rsidRPr="00906597">
        <w:rPr>
          <w:rFonts w:eastAsia="Calibri" w:cs="Times New Roman"/>
          <w:color w:val="000000"/>
          <w:sz w:val="24"/>
          <w:szCs w:val="24"/>
          <w:u w:color="000000"/>
        </w:rPr>
        <w:t>r</w:t>
      </w:r>
      <w:proofErr w:type="gramEnd"/>
      <w:r w:rsidRPr="00906597">
        <w:rPr>
          <w:rFonts w:eastAsia="Calibri" w:cs="Times New Roman"/>
          <w:color w:val="000000"/>
          <w:sz w:val="24"/>
          <w:szCs w:val="24"/>
          <w:u w:color="000000"/>
        </w:rPr>
        <w:t xml:space="preserve">., KIO 2585/19, w sytuacji, gdy w postępowaniu wpłynęły dwie oferty o tej samej treści, to w ocenie Izby nie ma miejsca złożenie dwóch ofert przez jednego wykonawcę, czego zakazuje ustawa. Izba nie podziela stanowiska, że zakaz złożenia dwóch ofert ma charakter formalny. Oznacza to, że badać należy treść tych ofert. W ocenie </w:t>
      </w:r>
      <w:proofErr w:type="gramStart"/>
      <w:r w:rsidRPr="00906597">
        <w:rPr>
          <w:rFonts w:eastAsia="Calibri" w:cs="Times New Roman"/>
          <w:color w:val="000000"/>
          <w:sz w:val="24"/>
          <w:szCs w:val="24"/>
          <w:u w:color="000000"/>
        </w:rPr>
        <w:t>Izby jeżeli</w:t>
      </w:r>
      <w:proofErr w:type="gramEnd"/>
      <w:r w:rsidRPr="00906597">
        <w:rPr>
          <w:rFonts w:eastAsia="Calibri" w:cs="Times New Roman"/>
          <w:color w:val="000000"/>
          <w:sz w:val="24"/>
          <w:szCs w:val="24"/>
          <w:u w:color="000000"/>
        </w:rPr>
        <w:t xml:space="preserve"> treść ofert jest taka sama, to złożenie dwóch takich ofert nie skutkuje wypełnieniem przesłanki o zakazie złożenie dwóch ofert przez jednego wykonawcę. Również zgodnie z art. 65 § 1 KC – Oświadczenie woli należy tak tłumaczyć, jak tego wymagają ze względu na okoliczności, w których złożone zostało, zasady współżycia społecznego oraz ustalone zwyczaje. W niniejszych okolicznościach </w:t>
      </w:r>
      <w:proofErr w:type="gramStart"/>
      <w:r w:rsidRPr="00906597">
        <w:rPr>
          <w:rFonts w:eastAsia="Calibri" w:cs="Times New Roman"/>
          <w:color w:val="000000"/>
          <w:sz w:val="24"/>
          <w:szCs w:val="24"/>
          <w:u w:color="000000"/>
        </w:rPr>
        <w:t>można bowiem</w:t>
      </w:r>
      <w:proofErr w:type="gramEnd"/>
      <w:r w:rsidRPr="00906597">
        <w:rPr>
          <w:rFonts w:eastAsia="Calibri" w:cs="Times New Roman"/>
          <w:color w:val="000000"/>
          <w:sz w:val="24"/>
          <w:szCs w:val="24"/>
          <w:u w:color="000000"/>
        </w:rPr>
        <w:t xml:space="preserve"> zakładać, że intencją wykonawcy było złożenie jednej oferty, a fizyczne złożenie jej dwukrotnie wynikało z przyczyn technicznych. </w:t>
      </w:r>
      <w:r w:rsidRPr="00906597">
        <w:rPr>
          <w:rFonts w:eastAsia="Calibri" w:cs="Times New Roman"/>
          <w:color w:val="000000"/>
          <w:sz w:val="24"/>
          <w:szCs w:val="24"/>
        </w:rPr>
        <w:t xml:space="preserve">Oferta wykonawcy B2Mobility GmbH </w:t>
      </w:r>
      <w:proofErr w:type="spellStart"/>
      <w:r w:rsidRPr="00906597">
        <w:rPr>
          <w:rFonts w:eastAsia="Calibri" w:cs="Times New Roman"/>
          <w:color w:val="000000"/>
          <w:sz w:val="24"/>
          <w:szCs w:val="24"/>
        </w:rPr>
        <w:t>Wittener</w:t>
      </w:r>
      <w:proofErr w:type="spellEnd"/>
      <w:r w:rsidRPr="00906597">
        <w:rPr>
          <w:rFonts w:eastAsia="Calibri" w:cs="Times New Roman"/>
          <w:color w:val="000000"/>
          <w:sz w:val="24"/>
          <w:szCs w:val="24"/>
        </w:rPr>
        <w:t xml:space="preserve"> Str. 45 44789 </w:t>
      </w:r>
      <w:proofErr w:type="spellStart"/>
      <w:r w:rsidRPr="00906597">
        <w:rPr>
          <w:rFonts w:eastAsia="Calibri" w:cs="Times New Roman"/>
          <w:color w:val="000000"/>
          <w:sz w:val="24"/>
          <w:szCs w:val="24"/>
        </w:rPr>
        <w:t>Bochum</w:t>
      </w:r>
      <w:proofErr w:type="spellEnd"/>
      <w:r w:rsidRPr="00906597">
        <w:rPr>
          <w:rFonts w:eastAsia="Calibri" w:cs="Times New Roman"/>
          <w:color w:val="000000"/>
          <w:sz w:val="24"/>
          <w:szCs w:val="24"/>
        </w:rPr>
        <w:t xml:space="preserve">, Niemcy i oferta wykonawcy Polska Grupa SW Przedsiębiorstwo Państwowe ul. Kocjana 3 01-473 Warszawa zostały odrzucone. </w:t>
      </w:r>
    </w:p>
    <w:p w:rsidR="00906597" w:rsidRPr="00906597" w:rsidRDefault="00906597" w:rsidP="00FF745D">
      <w:pPr>
        <w:tabs>
          <w:tab w:val="left" w:pos="426"/>
        </w:tabs>
        <w:spacing w:after="0" w:line="23" w:lineRule="atLeast"/>
        <w:contextualSpacing/>
        <w:rPr>
          <w:rFonts w:eastAsia="Calibri" w:cs="Times New Roman"/>
          <w:color w:val="000000"/>
          <w:sz w:val="24"/>
          <w:szCs w:val="24"/>
        </w:rPr>
      </w:pPr>
      <w:r w:rsidRPr="00906597">
        <w:rPr>
          <w:rFonts w:eastAsia="Calibri" w:cs="Times New Roman"/>
          <w:color w:val="000000"/>
          <w:sz w:val="24"/>
          <w:szCs w:val="24"/>
        </w:rPr>
        <w:t xml:space="preserve">W związku z powyższym postępowanie o udzielenie zamówienia nie może osiągnąć swego celu w postaci wyboru najkorzystniejszej oferty w Części 1 i Części 2 i zawarcia umowy w </w:t>
      </w:r>
      <w:proofErr w:type="gramStart"/>
      <w:r w:rsidRPr="00906597">
        <w:rPr>
          <w:rFonts w:eastAsia="Calibri" w:cs="Times New Roman"/>
          <w:color w:val="000000"/>
          <w:sz w:val="24"/>
          <w:szCs w:val="24"/>
        </w:rPr>
        <w:t>sprawie</w:t>
      </w:r>
      <w:proofErr w:type="gramEnd"/>
      <w:r w:rsidRPr="00906597">
        <w:rPr>
          <w:rFonts w:eastAsia="Calibri" w:cs="Times New Roman"/>
          <w:color w:val="000000"/>
          <w:sz w:val="24"/>
          <w:szCs w:val="24"/>
        </w:rPr>
        <w:t xml:space="preserve"> zamówienia, ponieważ wszystkie oferty złożone w niniejszym postępowaniu w Części 1 i Części 2 podlegają odrzuceniu.   </w:t>
      </w:r>
    </w:p>
    <w:p w:rsidR="00906597" w:rsidRPr="00906597" w:rsidRDefault="00906597" w:rsidP="00FF745D">
      <w:pPr>
        <w:tabs>
          <w:tab w:val="left" w:pos="426"/>
        </w:tabs>
        <w:spacing w:after="0" w:line="23" w:lineRule="atLeast"/>
        <w:contextualSpacing/>
        <w:rPr>
          <w:rFonts w:eastAsia="Calibri" w:cs="Times New Roman"/>
          <w:color w:val="000000"/>
          <w:sz w:val="24"/>
          <w:szCs w:val="24"/>
          <w:u w:color="000000"/>
        </w:rPr>
      </w:pPr>
    </w:p>
    <w:p w:rsidR="00906597" w:rsidRPr="00906597" w:rsidRDefault="00906597" w:rsidP="00FF745D">
      <w:pPr>
        <w:tabs>
          <w:tab w:val="left" w:pos="426"/>
        </w:tabs>
        <w:spacing w:after="0" w:line="23" w:lineRule="atLeast"/>
        <w:contextualSpacing/>
        <w:rPr>
          <w:rFonts w:eastAsia="Calibri" w:cs="Times New Roman"/>
          <w:color w:val="000000"/>
          <w:sz w:val="24"/>
          <w:szCs w:val="24"/>
          <w:u w:color="000000"/>
        </w:rPr>
      </w:pPr>
    </w:p>
    <w:p w:rsidR="00906597" w:rsidRPr="00906597" w:rsidRDefault="00906597" w:rsidP="00FF745D">
      <w:pPr>
        <w:tabs>
          <w:tab w:val="left" w:pos="426"/>
        </w:tabs>
        <w:spacing w:after="0" w:line="23" w:lineRule="atLeast"/>
        <w:ind w:firstLine="6237"/>
        <w:contextualSpacing/>
        <w:rPr>
          <w:sz w:val="24"/>
          <w:szCs w:val="24"/>
        </w:rPr>
      </w:pPr>
      <w:r w:rsidRPr="00906597">
        <w:rPr>
          <w:sz w:val="24"/>
          <w:szCs w:val="24"/>
        </w:rPr>
        <w:t>Z up. Burmistrza</w:t>
      </w:r>
    </w:p>
    <w:p w:rsidR="00906597" w:rsidRPr="00906597" w:rsidRDefault="00906597" w:rsidP="00FF745D">
      <w:pPr>
        <w:tabs>
          <w:tab w:val="left" w:pos="426"/>
        </w:tabs>
        <w:spacing w:after="0" w:line="23" w:lineRule="atLeast"/>
        <w:ind w:firstLine="6237"/>
        <w:contextualSpacing/>
        <w:rPr>
          <w:sz w:val="24"/>
          <w:szCs w:val="24"/>
        </w:rPr>
      </w:pPr>
      <w:r w:rsidRPr="00906597">
        <w:rPr>
          <w:sz w:val="24"/>
          <w:szCs w:val="24"/>
        </w:rPr>
        <w:t>/-/ Michał Gaczkowski</w:t>
      </w:r>
    </w:p>
    <w:p w:rsidR="00906597" w:rsidRPr="00906597" w:rsidRDefault="00906597" w:rsidP="00FF745D">
      <w:pPr>
        <w:tabs>
          <w:tab w:val="left" w:pos="426"/>
        </w:tabs>
        <w:spacing w:after="0" w:line="23" w:lineRule="atLeast"/>
        <w:ind w:firstLine="6237"/>
        <w:contextualSpacing/>
        <w:rPr>
          <w:sz w:val="24"/>
          <w:szCs w:val="24"/>
        </w:rPr>
      </w:pPr>
      <w:r w:rsidRPr="00906597">
        <w:rPr>
          <w:sz w:val="24"/>
          <w:szCs w:val="24"/>
        </w:rPr>
        <w:t>Z-ca Burmistrza</w:t>
      </w:r>
    </w:p>
    <w:p w:rsidR="00630AF5" w:rsidRPr="00906597" w:rsidRDefault="00630AF5" w:rsidP="00FF745D">
      <w:pPr>
        <w:tabs>
          <w:tab w:val="left" w:pos="426"/>
        </w:tabs>
        <w:spacing w:after="0" w:line="23" w:lineRule="atLeast"/>
        <w:ind w:left="360"/>
        <w:contextualSpacing/>
        <w:rPr>
          <w:rFonts w:eastAsia="Calibri" w:cs="Times New Roman"/>
          <w:b/>
          <w:color w:val="000000"/>
          <w:sz w:val="24"/>
          <w:szCs w:val="24"/>
          <w:u w:color="000000"/>
        </w:rPr>
      </w:pPr>
    </w:p>
    <w:sectPr w:rsidR="00630AF5" w:rsidRPr="00906597" w:rsidSect="00631BD1">
      <w:footerReference w:type="default" r:id="rId8"/>
      <w:pgSz w:w="11905" w:h="16837"/>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7A" w:rsidRDefault="0002487A">
      <w:pPr>
        <w:spacing w:after="0" w:line="240" w:lineRule="auto"/>
      </w:pPr>
      <w:r>
        <w:separator/>
      </w:r>
    </w:p>
  </w:endnote>
  <w:endnote w:type="continuationSeparator" w:id="0">
    <w:p w:rsidR="0002487A" w:rsidRDefault="0002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D9" w:rsidRDefault="00933723">
    <w:pPr>
      <w:widowControl w:val="0"/>
      <w:autoSpaceDE w:val="0"/>
      <w:autoSpaceDN w:val="0"/>
      <w:adjustRightInd w:val="0"/>
      <w:spacing w:after="0" w:line="240" w:lineRule="auto"/>
      <w:jc w:val="right"/>
      <w:rPr>
        <w:rFonts w:ascii="Century Gothic" w:hAnsi="Century Gothic" w:cs="Century Gothic"/>
        <w:color w:val="000000"/>
        <w:sz w:val="16"/>
        <w:szCs w:val="16"/>
      </w:rPr>
    </w:pPr>
    <w:r>
      <w:rPr>
        <w:rFonts w:ascii="Century Gothic" w:hAnsi="Century Gothic" w:cs="Century Gothic"/>
        <w:color w:val="000000"/>
        <w:sz w:val="16"/>
        <w:szCs w:val="16"/>
      </w:rPr>
      <w:t xml:space="preserve">Strona </w:t>
    </w:r>
    <w:r>
      <w:rPr>
        <w:rFonts w:ascii="Century Gothic" w:hAnsi="Century Gothic" w:cs="Century Gothic"/>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7A" w:rsidRDefault="0002487A">
      <w:pPr>
        <w:spacing w:after="0" w:line="240" w:lineRule="auto"/>
      </w:pPr>
      <w:r>
        <w:separator/>
      </w:r>
    </w:p>
  </w:footnote>
  <w:footnote w:type="continuationSeparator" w:id="0">
    <w:p w:rsidR="0002487A" w:rsidRDefault="00024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42C3"/>
    <w:multiLevelType w:val="hybridMultilevel"/>
    <w:tmpl w:val="A5FE8F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394BD9"/>
    <w:multiLevelType w:val="hybridMultilevel"/>
    <w:tmpl w:val="345866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92430C1"/>
    <w:multiLevelType w:val="hybridMultilevel"/>
    <w:tmpl w:val="4E708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D1"/>
    <w:rsid w:val="00015158"/>
    <w:rsid w:val="0002487A"/>
    <w:rsid w:val="00037F3C"/>
    <w:rsid w:val="00054DAF"/>
    <w:rsid w:val="00063F9E"/>
    <w:rsid w:val="000721D9"/>
    <w:rsid w:val="00093786"/>
    <w:rsid w:val="0009465D"/>
    <w:rsid w:val="000A2644"/>
    <w:rsid w:val="000A5874"/>
    <w:rsid w:val="000F687C"/>
    <w:rsid w:val="00157435"/>
    <w:rsid w:val="001B7FD8"/>
    <w:rsid w:val="001F2929"/>
    <w:rsid w:val="002029DA"/>
    <w:rsid w:val="0025515B"/>
    <w:rsid w:val="00282F09"/>
    <w:rsid w:val="002845B7"/>
    <w:rsid w:val="00353A85"/>
    <w:rsid w:val="003A18C4"/>
    <w:rsid w:val="003E3F93"/>
    <w:rsid w:val="00432D61"/>
    <w:rsid w:val="00441ADB"/>
    <w:rsid w:val="00472963"/>
    <w:rsid w:val="00477BD5"/>
    <w:rsid w:val="00487564"/>
    <w:rsid w:val="004A12F8"/>
    <w:rsid w:val="004C77D8"/>
    <w:rsid w:val="00506754"/>
    <w:rsid w:val="00550452"/>
    <w:rsid w:val="00551583"/>
    <w:rsid w:val="005B1F7E"/>
    <w:rsid w:val="00622716"/>
    <w:rsid w:val="00624FD2"/>
    <w:rsid w:val="00630AF5"/>
    <w:rsid w:val="00631BD1"/>
    <w:rsid w:val="006D497D"/>
    <w:rsid w:val="00744414"/>
    <w:rsid w:val="00792E39"/>
    <w:rsid w:val="00797E87"/>
    <w:rsid w:val="007A5D05"/>
    <w:rsid w:val="007B12E4"/>
    <w:rsid w:val="00807F32"/>
    <w:rsid w:val="008137F7"/>
    <w:rsid w:val="00863F53"/>
    <w:rsid w:val="008832A9"/>
    <w:rsid w:val="00895DC0"/>
    <w:rsid w:val="00905455"/>
    <w:rsid w:val="00906597"/>
    <w:rsid w:val="00933723"/>
    <w:rsid w:val="00984ECF"/>
    <w:rsid w:val="009F3EC9"/>
    <w:rsid w:val="00A075BF"/>
    <w:rsid w:val="00A1076B"/>
    <w:rsid w:val="00A7236A"/>
    <w:rsid w:val="00AC5CE4"/>
    <w:rsid w:val="00B32DA1"/>
    <w:rsid w:val="00B87E23"/>
    <w:rsid w:val="00BB170C"/>
    <w:rsid w:val="00C04B3F"/>
    <w:rsid w:val="00C334FE"/>
    <w:rsid w:val="00C37212"/>
    <w:rsid w:val="00CA0CAF"/>
    <w:rsid w:val="00CB6790"/>
    <w:rsid w:val="00D116FB"/>
    <w:rsid w:val="00D43306"/>
    <w:rsid w:val="00D720C0"/>
    <w:rsid w:val="00D8538A"/>
    <w:rsid w:val="00DA2CEA"/>
    <w:rsid w:val="00DB06DB"/>
    <w:rsid w:val="00DC059C"/>
    <w:rsid w:val="00DF4D5B"/>
    <w:rsid w:val="00E3513B"/>
    <w:rsid w:val="00E45AA3"/>
    <w:rsid w:val="00E8181D"/>
    <w:rsid w:val="00E91BF0"/>
    <w:rsid w:val="00EA554B"/>
    <w:rsid w:val="00EC6904"/>
    <w:rsid w:val="00EC705F"/>
    <w:rsid w:val="00ED3A72"/>
    <w:rsid w:val="00ED432F"/>
    <w:rsid w:val="00EE5E56"/>
    <w:rsid w:val="00F47771"/>
    <w:rsid w:val="00F4777F"/>
    <w:rsid w:val="00F54C12"/>
    <w:rsid w:val="00F87355"/>
    <w:rsid w:val="00FF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1492B3-9FB5-4BC5-811D-6A7AB474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644"/>
  </w:style>
  <w:style w:type="paragraph" w:styleId="Nagwek1">
    <w:name w:val="heading 1"/>
    <w:basedOn w:val="Normalny"/>
    <w:next w:val="Normalny"/>
    <w:link w:val="Nagwek1Znak"/>
    <w:uiPriority w:val="9"/>
    <w:qFormat/>
    <w:rsid w:val="00DC059C"/>
    <w:pPr>
      <w:keepNext/>
      <w:keepLines/>
      <w:spacing w:before="240" w:after="0"/>
      <w:jc w:val="right"/>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DC059C"/>
    <w:pPr>
      <w:keepNext/>
      <w:keepLines/>
      <w:spacing w:before="40" w:after="0"/>
      <w:jc w:val="center"/>
      <w:outlineLvl w:val="1"/>
    </w:pPr>
    <w:rPr>
      <w:rFonts w:eastAsiaTheme="majorEastAsi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1BD1"/>
    <w:pPr>
      <w:tabs>
        <w:tab w:val="center" w:pos="4536"/>
        <w:tab w:val="right" w:pos="9072"/>
      </w:tabs>
    </w:pPr>
  </w:style>
  <w:style w:type="character" w:customStyle="1" w:styleId="NagwekZnak">
    <w:name w:val="Nagłówek Znak"/>
    <w:basedOn w:val="Domylnaczcionkaakapitu"/>
    <w:link w:val="Nagwek"/>
    <w:uiPriority w:val="99"/>
    <w:rsid w:val="00631BD1"/>
  </w:style>
  <w:style w:type="paragraph" w:styleId="Stopka">
    <w:name w:val="footer"/>
    <w:basedOn w:val="Normalny"/>
    <w:link w:val="StopkaZnak"/>
    <w:uiPriority w:val="99"/>
    <w:unhideWhenUsed/>
    <w:rsid w:val="00631BD1"/>
    <w:pPr>
      <w:tabs>
        <w:tab w:val="center" w:pos="4536"/>
        <w:tab w:val="right" w:pos="9072"/>
      </w:tabs>
    </w:pPr>
  </w:style>
  <w:style w:type="character" w:customStyle="1" w:styleId="StopkaZnak">
    <w:name w:val="Stopka Znak"/>
    <w:basedOn w:val="Domylnaczcionkaakapitu"/>
    <w:link w:val="Stopka"/>
    <w:uiPriority w:val="99"/>
    <w:rsid w:val="00631BD1"/>
  </w:style>
  <w:style w:type="table" w:styleId="Tabela-Siatka">
    <w:name w:val="Table Grid"/>
    <w:basedOn w:val="Standardowy"/>
    <w:uiPriority w:val="39"/>
    <w:rsid w:val="00E8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E818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E3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13B"/>
    <w:rPr>
      <w:rFonts w:ascii="Segoe UI" w:hAnsi="Segoe UI" w:cs="Segoe UI"/>
      <w:sz w:val="18"/>
      <w:szCs w:val="18"/>
    </w:rPr>
  </w:style>
  <w:style w:type="character" w:customStyle="1" w:styleId="Nagwek1Znak">
    <w:name w:val="Nagłówek 1 Znak"/>
    <w:basedOn w:val="Domylnaczcionkaakapitu"/>
    <w:link w:val="Nagwek1"/>
    <w:uiPriority w:val="9"/>
    <w:rsid w:val="00DC059C"/>
    <w:rPr>
      <w:rFonts w:eastAsiaTheme="majorEastAsia" w:cstheme="majorBidi"/>
      <w:b/>
      <w:sz w:val="24"/>
      <w:szCs w:val="32"/>
    </w:rPr>
  </w:style>
  <w:style w:type="character" w:styleId="Hipercze">
    <w:name w:val="Hyperlink"/>
    <w:basedOn w:val="Domylnaczcionkaakapitu"/>
    <w:uiPriority w:val="99"/>
    <w:unhideWhenUsed/>
    <w:rsid w:val="00477BD5"/>
    <w:rPr>
      <w:color w:val="0563C1" w:themeColor="hyperlink"/>
      <w:u w:val="single"/>
    </w:rPr>
  </w:style>
  <w:style w:type="paragraph" w:styleId="Tekstpodstawowy">
    <w:name w:val="Body Text"/>
    <w:basedOn w:val="Normalny"/>
    <w:link w:val="TekstpodstawowyZnak"/>
    <w:semiHidden/>
    <w:unhideWhenUsed/>
    <w:rsid w:val="00477BD5"/>
    <w:pPr>
      <w:spacing w:after="0" w:line="240" w:lineRule="auto"/>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semiHidden/>
    <w:rsid w:val="00477BD5"/>
    <w:rPr>
      <w:rFonts w:ascii="Courier New" w:eastAsia="Times New Roman" w:hAnsi="Courier New" w:cs="Times New Roman"/>
      <w:sz w:val="24"/>
      <w:szCs w:val="20"/>
    </w:rPr>
  </w:style>
  <w:style w:type="table" w:customStyle="1" w:styleId="Tabelasiatki41">
    <w:name w:val="Tabela siatki 41"/>
    <w:basedOn w:val="Standardowy"/>
    <w:uiPriority w:val="49"/>
    <w:rsid w:val="003A18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3akcent61">
    <w:name w:val="Tabela siatki 3 — akcent 61"/>
    <w:basedOn w:val="Standardowy"/>
    <w:uiPriority w:val="48"/>
    <w:rsid w:val="003A18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Zwykatabela11">
    <w:name w:val="Zwykła tabela 11"/>
    <w:basedOn w:val="Standardowy"/>
    <w:uiPriority w:val="41"/>
    <w:rsid w:val="00054DAF"/>
    <w:pPr>
      <w:spacing w:after="0" w:line="240" w:lineRule="auto"/>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2Znak">
    <w:name w:val="Nagłówek 2 Znak"/>
    <w:basedOn w:val="Domylnaczcionkaakapitu"/>
    <w:link w:val="Nagwek2"/>
    <w:uiPriority w:val="9"/>
    <w:rsid w:val="00DC059C"/>
    <w:rPr>
      <w:rFonts w:eastAsiaTheme="majorEastAsia" w:cstheme="majorBidi"/>
      <w:b/>
      <w:sz w:val="24"/>
      <w:szCs w:val="26"/>
    </w:r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basedOn w:val="Normalny"/>
    <w:link w:val="AkapitzlistZnak"/>
    <w:qFormat/>
    <w:rsid w:val="00DC059C"/>
    <w:pPr>
      <w:ind w:left="720"/>
      <w:contextualSpacing/>
    </w:p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F4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0343">
      <w:bodyDiv w:val="1"/>
      <w:marLeft w:val="0"/>
      <w:marRight w:val="0"/>
      <w:marTop w:val="0"/>
      <w:marBottom w:val="0"/>
      <w:divBdr>
        <w:top w:val="none" w:sz="0" w:space="0" w:color="auto"/>
        <w:left w:val="none" w:sz="0" w:space="0" w:color="auto"/>
        <w:bottom w:val="none" w:sz="0" w:space="0" w:color="auto"/>
        <w:right w:val="none" w:sz="0" w:space="0" w:color="auto"/>
      </w:divBdr>
    </w:div>
    <w:div w:id="1159922723">
      <w:bodyDiv w:val="1"/>
      <w:marLeft w:val="0"/>
      <w:marRight w:val="0"/>
      <w:marTop w:val="0"/>
      <w:marBottom w:val="0"/>
      <w:divBdr>
        <w:top w:val="none" w:sz="0" w:space="0" w:color="auto"/>
        <w:left w:val="none" w:sz="0" w:space="0" w:color="auto"/>
        <w:bottom w:val="none" w:sz="0" w:space="0" w:color="auto"/>
        <w:right w:val="none" w:sz="0" w:space="0" w:color="auto"/>
      </w:divBdr>
    </w:div>
    <w:div w:id="1744718378">
      <w:bodyDiv w:val="1"/>
      <w:marLeft w:val="0"/>
      <w:marRight w:val="0"/>
      <w:marTop w:val="0"/>
      <w:marBottom w:val="0"/>
      <w:divBdr>
        <w:top w:val="none" w:sz="0" w:space="0" w:color="auto"/>
        <w:left w:val="none" w:sz="0" w:space="0" w:color="auto"/>
        <w:bottom w:val="none" w:sz="0" w:space="0" w:color="auto"/>
        <w:right w:val="none" w:sz="0" w:space="0" w:color="auto"/>
      </w:divBdr>
    </w:div>
    <w:div w:id="1831362549">
      <w:bodyDiv w:val="1"/>
      <w:marLeft w:val="0"/>
      <w:marRight w:val="0"/>
      <w:marTop w:val="0"/>
      <w:marBottom w:val="0"/>
      <w:divBdr>
        <w:top w:val="none" w:sz="0" w:space="0" w:color="auto"/>
        <w:left w:val="none" w:sz="0" w:space="0" w:color="auto"/>
        <w:bottom w:val="none" w:sz="0" w:space="0" w:color="auto"/>
        <w:right w:val="none" w:sz="0" w:space="0" w:color="auto"/>
      </w:divBdr>
    </w:div>
    <w:div w:id="2012945002">
      <w:bodyDiv w:val="1"/>
      <w:marLeft w:val="0"/>
      <w:marRight w:val="0"/>
      <w:marTop w:val="0"/>
      <w:marBottom w:val="0"/>
      <w:divBdr>
        <w:top w:val="none" w:sz="0" w:space="0" w:color="auto"/>
        <w:left w:val="none" w:sz="0" w:space="0" w:color="auto"/>
        <w:bottom w:val="none" w:sz="0" w:space="0" w:color="auto"/>
        <w:right w:val="none" w:sz="0" w:space="0" w:color="auto"/>
      </w:divBdr>
    </w:div>
    <w:div w:id="2019774431">
      <w:bodyDiv w:val="1"/>
      <w:marLeft w:val="0"/>
      <w:marRight w:val="0"/>
      <w:marTop w:val="0"/>
      <w:marBottom w:val="0"/>
      <w:divBdr>
        <w:top w:val="none" w:sz="0" w:space="0" w:color="auto"/>
        <w:left w:val="none" w:sz="0" w:space="0" w:color="auto"/>
        <w:bottom w:val="none" w:sz="0" w:space="0" w:color="auto"/>
        <w:right w:val="none" w:sz="0" w:space="0" w:color="auto"/>
      </w:divBdr>
    </w:div>
    <w:div w:id="20319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879B-F4E9-41A4-BECF-A57081C7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401</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zawiadomienie o wyniku postępowania</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wyniku postępowania</dc:title>
  <dc:subject/>
  <dc:creator>Izabela ID. Dróżdż</dc:creator>
  <cp:keywords/>
  <dc:description/>
  <cp:lastModifiedBy>Izabela ID. Dróżdż</cp:lastModifiedBy>
  <cp:revision>59</cp:revision>
  <cp:lastPrinted>2023-03-28T11:51:00Z</cp:lastPrinted>
  <dcterms:created xsi:type="dcterms:W3CDTF">2021-06-17T09:41:00Z</dcterms:created>
  <dcterms:modified xsi:type="dcterms:W3CDTF">2023-12-22T11:19:00Z</dcterms:modified>
</cp:coreProperties>
</file>