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39846" w14:textId="792A1A7A" w:rsidR="00200A75" w:rsidRPr="00200A75" w:rsidRDefault="00200A75" w:rsidP="00200A75">
      <w:pPr>
        <w:rPr>
          <w:rFonts w:ascii="Lato" w:hAnsi="Lato"/>
          <w:sz w:val="20"/>
          <w:szCs w:val="20"/>
        </w:rPr>
      </w:pPr>
      <w:r w:rsidRPr="00200A75">
        <w:rPr>
          <w:rFonts w:ascii="Lato" w:hAnsi="Lato"/>
          <w:sz w:val="20"/>
          <w:szCs w:val="20"/>
        </w:rPr>
        <w:t xml:space="preserve">Załącznik nr 1 – Opis </w:t>
      </w:r>
      <w:r>
        <w:rPr>
          <w:rFonts w:ascii="Lato" w:hAnsi="Lato"/>
          <w:sz w:val="20"/>
          <w:szCs w:val="20"/>
        </w:rPr>
        <w:t>p</w:t>
      </w:r>
      <w:r w:rsidRPr="00200A75">
        <w:rPr>
          <w:rFonts w:ascii="Lato" w:hAnsi="Lato"/>
          <w:sz w:val="20"/>
          <w:szCs w:val="20"/>
        </w:rPr>
        <w:t>rzedmiotu zamówienia</w:t>
      </w:r>
    </w:p>
    <w:p w14:paraId="54528B14" w14:textId="77777777" w:rsidR="00927709" w:rsidRPr="00200A75" w:rsidRDefault="00927709" w:rsidP="00927709">
      <w:pPr>
        <w:pStyle w:val="Default"/>
        <w:rPr>
          <w:rFonts w:ascii="Lato" w:hAnsi="Lato"/>
          <w:sz w:val="20"/>
          <w:szCs w:val="20"/>
        </w:rPr>
      </w:pPr>
    </w:p>
    <w:p w14:paraId="7DAE6729" w14:textId="2A23AB40" w:rsidR="00927709" w:rsidRDefault="00927709" w:rsidP="00927709">
      <w:pPr>
        <w:pStyle w:val="Default"/>
        <w:rPr>
          <w:rFonts w:ascii="Lato" w:hAnsi="Lato"/>
          <w:sz w:val="20"/>
          <w:szCs w:val="20"/>
        </w:rPr>
      </w:pPr>
      <w:r w:rsidRPr="00200A75">
        <w:rPr>
          <w:rFonts w:ascii="Lato" w:hAnsi="Lato"/>
          <w:sz w:val="20"/>
          <w:szCs w:val="20"/>
        </w:rPr>
        <w:t xml:space="preserve">SPECYFIKACJA TECHNICZNA </w:t>
      </w:r>
    </w:p>
    <w:p w14:paraId="356D79E9" w14:textId="77777777" w:rsidR="00701244" w:rsidRPr="00200A75" w:rsidRDefault="00701244" w:rsidP="00927709">
      <w:pPr>
        <w:pStyle w:val="Default"/>
        <w:rPr>
          <w:rFonts w:ascii="Lato" w:hAnsi="Lato"/>
          <w:sz w:val="20"/>
          <w:szCs w:val="20"/>
        </w:rPr>
      </w:pPr>
    </w:p>
    <w:p w14:paraId="1331CD2D" w14:textId="77777777" w:rsidR="00927709" w:rsidRPr="00200A75" w:rsidRDefault="00927709" w:rsidP="00927709">
      <w:pPr>
        <w:pStyle w:val="Default"/>
        <w:rPr>
          <w:rFonts w:ascii="Lato" w:hAnsi="Lato"/>
          <w:sz w:val="20"/>
          <w:szCs w:val="20"/>
        </w:rPr>
      </w:pPr>
      <w:r w:rsidRPr="00200A75">
        <w:rPr>
          <w:rFonts w:ascii="Lato" w:hAnsi="Lato"/>
          <w:b/>
          <w:bCs/>
          <w:color w:val="FF0000"/>
          <w:sz w:val="20"/>
          <w:szCs w:val="20"/>
        </w:rPr>
        <w:t xml:space="preserve">Podstawowe założenia: </w:t>
      </w:r>
    </w:p>
    <w:p w14:paraId="7898E4C0" w14:textId="77777777" w:rsidR="00927709" w:rsidRPr="00200A75" w:rsidRDefault="00927709" w:rsidP="00927709">
      <w:pPr>
        <w:pStyle w:val="Default"/>
        <w:rPr>
          <w:rFonts w:ascii="Lato" w:hAnsi="Lato"/>
          <w:sz w:val="20"/>
          <w:szCs w:val="20"/>
        </w:rPr>
      </w:pPr>
      <w:r w:rsidRPr="00200A75">
        <w:rPr>
          <w:rFonts w:ascii="Lato" w:hAnsi="Lato"/>
          <w:sz w:val="20"/>
          <w:szCs w:val="20"/>
        </w:rPr>
        <w:t xml:space="preserve">- woda pitna (CWU) </w:t>
      </w:r>
    </w:p>
    <w:p w14:paraId="1C8C9CCD" w14:textId="77777777" w:rsidR="00927709" w:rsidRPr="00200A75" w:rsidRDefault="00927709" w:rsidP="00927709">
      <w:pPr>
        <w:pStyle w:val="Default"/>
        <w:rPr>
          <w:rFonts w:ascii="Lato" w:hAnsi="Lato"/>
          <w:sz w:val="20"/>
          <w:szCs w:val="20"/>
        </w:rPr>
      </w:pPr>
      <w:r w:rsidRPr="00200A75">
        <w:rPr>
          <w:rFonts w:ascii="Lato" w:hAnsi="Lato"/>
          <w:sz w:val="20"/>
          <w:szCs w:val="20"/>
        </w:rPr>
        <w:t xml:space="preserve">- przyjmujemy dawki stosowane przy dezynfekcji wody pitnej </w:t>
      </w:r>
    </w:p>
    <w:p w14:paraId="59683279" w14:textId="77777777" w:rsidR="00927709" w:rsidRPr="00200A75" w:rsidRDefault="00927709" w:rsidP="00927709">
      <w:pPr>
        <w:pStyle w:val="Default"/>
        <w:rPr>
          <w:rFonts w:ascii="Lato" w:hAnsi="Lato"/>
          <w:sz w:val="20"/>
          <w:szCs w:val="20"/>
        </w:rPr>
      </w:pPr>
      <w:r w:rsidRPr="00200A75">
        <w:rPr>
          <w:rFonts w:ascii="Lato" w:hAnsi="Lato"/>
          <w:sz w:val="20"/>
          <w:szCs w:val="20"/>
        </w:rPr>
        <w:t>- max. przepływ 12m</w:t>
      </w:r>
      <w:r w:rsidRPr="00701244">
        <w:rPr>
          <w:rFonts w:ascii="Lato" w:hAnsi="Lato"/>
          <w:sz w:val="20"/>
          <w:szCs w:val="20"/>
          <w:vertAlign w:val="superscript"/>
        </w:rPr>
        <w:t>3</w:t>
      </w:r>
      <w:r w:rsidRPr="00200A75">
        <w:rPr>
          <w:rFonts w:ascii="Lato" w:hAnsi="Lato"/>
          <w:sz w:val="20"/>
          <w:szCs w:val="20"/>
        </w:rPr>
        <w:t xml:space="preserve">/h </w:t>
      </w:r>
    </w:p>
    <w:p w14:paraId="0D65292C" w14:textId="77777777" w:rsidR="00927709" w:rsidRPr="00200A75" w:rsidRDefault="00927709" w:rsidP="00927709">
      <w:pPr>
        <w:pStyle w:val="Default"/>
        <w:rPr>
          <w:rFonts w:ascii="Lato" w:hAnsi="Lato"/>
          <w:sz w:val="20"/>
          <w:szCs w:val="20"/>
        </w:rPr>
      </w:pPr>
      <w:r w:rsidRPr="00200A75">
        <w:rPr>
          <w:rFonts w:ascii="Lato" w:hAnsi="Lato"/>
          <w:sz w:val="20"/>
          <w:szCs w:val="20"/>
        </w:rPr>
        <w:t xml:space="preserve">- w celu montażu generatora konieczne jest zapewnienie szeregu armatury i mediów: </w:t>
      </w:r>
    </w:p>
    <w:p w14:paraId="7CE92EF5" w14:textId="77777777" w:rsidR="00927709" w:rsidRPr="00200A75" w:rsidRDefault="00927709" w:rsidP="00200A75">
      <w:pPr>
        <w:pStyle w:val="Default"/>
        <w:ind w:left="567"/>
        <w:rPr>
          <w:rFonts w:ascii="Lato" w:hAnsi="Lato"/>
          <w:sz w:val="20"/>
          <w:szCs w:val="20"/>
        </w:rPr>
      </w:pPr>
      <w:r w:rsidRPr="00200A75">
        <w:rPr>
          <w:rFonts w:ascii="Lato" w:hAnsi="Lato"/>
          <w:sz w:val="20"/>
          <w:szCs w:val="20"/>
        </w:rPr>
        <w:t xml:space="preserve">1) doprowadzenie wody o ciśnieniu min 2 bary do generatora </w:t>
      </w:r>
    </w:p>
    <w:p w14:paraId="18BB7321" w14:textId="77777777" w:rsidR="00927709" w:rsidRPr="00200A75" w:rsidRDefault="00927709" w:rsidP="00200A75">
      <w:pPr>
        <w:pStyle w:val="Default"/>
        <w:ind w:left="567"/>
        <w:rPr>
          <w:rFonts w:ascii="Lato" w:hAnsi="Lato"/>
          <w:sz w:val="20"/>
          <w:szCs w:val="20"/>
        </w:rPr>
      </w:pPr>
      <w:r w:rsidRPr="00200A75">
        <w:rPr>
          <w:rFonts w:ascii="Lato" w:hAnsi="Lato"/>
          <w:sz w:val="20"/>
          <w:szCs w:val="20"/>
        </w:rPr>
        <w:t xml:space="preserve">2) doprowadzenie energii elektrycznej 230V (gniazdko) </w:t>
      </w:r>
    </w:p>
    <w:p w14:paraId="6A3C71DB" w14:textId="77777777" w:rsidR="00927709" w:rsidRPr="00200A75" w:rsidRDefault="00927709" w:rsidP="00200A75">
      <w:pPr>
        <w:pStyle w:val="Default"/>
        <w:ind w:left="567"/>
        <w:rPr>
          <w:rFonts w:ascii="Lato" w:hAnsi="Lato"/>
          <w:sz w:val="20"/>
          <w:szCs w:val="20"/>
        </w:rPr>
      </w:pPr>
      <w:r w:rsidRPr="00200A75">
        <w:rPr>
          <w:rFonts w:ascii="Lato" w:hAnsi="Lato"/>
          <w:sz w:val="20"/>
          <w:szCs w:val="20"/>
        </w:rPr>
        <w:t xml:space="preserve">3) wytypowanie miejsca montażu wodomierza </w:t>
      </w:r>
    </w:p>
    <w:p w14:paraId="2BE8D998" w14:textId="77777777" w:rsidR="00927709" w:rsidRPr="00200A75" w:rsidRDefault="00927709" w:rsidP="00200A75">
      <w:pPr>
        <w:pStyle w:val="Default"/>
        <w:ind w:left="567"/>
        <w:rPr>
          <w:rFonts w:ascii="Lato" w:hAnsi="Lato"/>
          <w:sz w:val="20"/>
          <w:szCs w:val="20"/>
        </w:rPr>
      </w:pPr>
      <w:r w:rsidRPr="00200A75">
        <w:rPr>
          <w:rFonts w:ascii="Lato" w:hAnsi="Lato"/>
          <w:sz w:val="20"/>
          <w:szCs w:val="20"/>
        </w:rPr>
        <w:t>4) montaż mufy 1/2” do dozowania ClO</w:t>
      </w:r>
      <w:r w:rsidRPr="009B6026">
        <w:rPr>
          <w:rFonts w:ascii="Lato" w:hAnsi="Lato"/>
          <w:sz w:val="20"/>
          <w:szCs w:val="20"/>
          <w:vertAlign w:val="subscript"/>
        </w:rPr>
        <w:t>2</w:t>
      </w:r>
      <w:r w:rsidRPr="00200A75">
        <w:rPr>
          <w:rFonts w:ascii="Lato" w:hAnsi="Lato"/>
          <w:sz w:val="20"/>
          <w:szCs w:val="20"/>
        </w:rPr>
        <w:t xml:space="preserve"> na rurociągu (w punkcie dozowania rekomendujemy rurociąg z PCV) </w:t>
      </w:r>
    </w:p>
    <w:p w14:paraId="05A3E087" w14:textId="68CFF92A" w:rsidR="00927709" w:rsidRPr="00200A75" w:rsidRDefault="00927709" w:rsidP="000D296B">
      <w:pPr>
        <w:pStyle w:val="Default"/>
        <w:ind w:left="567"/>
        <w:rPr>
          <w:rFonts w:ascii="Lato" w:hAnsi="Lato"/>
          <w:sz w:val="20"/>
          <w:szCs w:val="20"/>
        </w:rPr>
      </w:pPr>
      <w:r w:rsidRPr="00200A75">
        <w:rPr>
          <w:rFonts w:ascii="Lato" w:hAnsi="Lato"/>
          <w:sz w:val="20"/>
          <w:szCs w:val="20"/>
        </w:rPr>
        <w:t xml:space="preserve">5) znalezienie odpowiedniego miejsca do montażu generatora na ścianie </w:t>
      </w:r>
    </w:p>
    <w:p w14:paraId="7AE94F6A" w14:textId="334338A4" w:rsidR="00927709" w:rsidRDefault="000D296B" w:rsidP="00200A75">
      <w:pPr>
        <w:pStyle w:val="Default"/>
        <w:ind w:left="567"/>
        <w:rPr>
          <w:rFonts w:ascii="Lato" w:hAnsi="Lato"/>
          <w:sz w:val="20"/>
          <w:szCs w:val="20"/>
        </w:rPr>
      </w:pPr>
      <w:r>
        <w:rPr>
          <w:rFonts w:ascii="Lato" w:hAnsi="Lato"/>
          <w:sz w:val="20"/>
          <w:szCs w:val="20"/>
        </w:rPr>
        <w:t>6</w:t>
      </w:r>
      <w:r w:rsidR="00927709" w:rsidRPr="00200A75">
        <w:rPr>
          <w:rFonts w:ascii="Lato" w:hAnsi="Lato"/>
          <w:sz w:val="20"/>
          <w:szCs w:val="20"/>
        </w:rPr>
        <w:t xml:space="preserve">) </w:t>
      </w:r>
      <w:r w:rsidR="00927709" w:rsidRPr="000D296B">
        <w:rPr>
          <w:rFonts w:ascii="Lato" w:hAnsi="Lato"/>
          <w:sz w:val="20"/>
          <w:szCs w:val="20"/>
        </w:rPr>
        <w:t xml:space="preserve">pomieszczenie montażu </w:t>
      </w:r>
      <w:r w:rsidRPr="000D296B">
        <w:rPr>
          <w:rFonts w:ascii="Lato" w:hAnsi="Lato"/>
          <w:sz w:val="20"/>
          <w:szCs w:val="20"/>
        </w:rPr>
        <w:t>jest</w:t>
      </w:r>
      <w:r w:rsidR="00927709" w:rsidRPr="000D296B">
        <w:rPr>
          <w:rFonts w:ascii="Lato" w:hAnsi="Lato"/>
          <w:sz w:val="20"/>
          <w:szCs w:val="20"/>
        </w:rPr>
        <w:t xml:space="preserve">  wentylowane</w:t>
      </w:r>
    </w:p>
    <w:p w14:paraId="34E0BD07" w14:textId="182B1CE8" w:rsidR="00487B8D" w:rsidRDefault="00487B8D" w:rsidP="00200A75">
      <w:pPr>
        <w:pStyle w:val="Default"/>
        <w:ind w:left="567"/>
        <w:rPr>
          <w:rFonts w:ascii="Lato" w:hAnsi="Lato"/>
          <w:sz w:val="20"/>
          <w:szCs w:val="20"/>
        </w:rPr>
      </w:pPr>
      <w:r>
        <w:rPr>
          <w:rFonts w:ascii="Lato" w:hAnsi="Lato"/>
          <w:sz w:val="20"/>
          <w:szCs w:val="20"/>
        </w:rPr>
        <w:t>7) wycena opcjonalna cela pomiarowa (system pomiarowy) stężenia preparatu w wodzie użytkowej</w:t>
      </w:r>
    </w:p>
    <w:p w14:paraId="12BE8884" w14:textId="77777777" w:rsidR="00200A75" w:rsidRPr="00200A75" w:rsidRDefault="00200A75" w:rsidP="00200A75">
      <w:pPr>
        <w:pStyle w:val="Default"/>
        <w:ind w:left="567"/>
        <w:rPr>
          <w:rFonts w:ascii="Lato" w:hAnsi="Lato"/>
          <w:sz w:val="20"/>
          <w:szCs w:val="20"/>
        </w:rPr>
      </w:pPr>
    </w:p>
    <w:p w14:paraId="6398946F" w14:textId="3F46BED4" w:rsidR="00927709" w:rsidRPr="00200A75" w:rsidRDefault="009B6026" w:rsidP="00927709">
      <w:pPr>
        <w:pStyle w:val="Default"/>
        <w:rPr>
          <w:rFonts w:ascii="Lato" w:hAnsi="Lato"/>
          <w:sz w:val="20"/>
          <w:szCs w:val="20"/>
        </w:rPr>
      </w:pPr>
      <w:r>
        <w:rPr>
          <w:rFonts w:ascii="Lato" w:hAnsi="Lato"/>
          <w:b/>
          <w:bCs/>
          <w:sz w:val="20"/>
          <w:szCs w:val="20"/>
        </w:rPr>
        <w:t>Rekomendowana sposób uzdatniania wody - d</w:t>
      </w:r>
      <w:r w:rsidR="00927709" w:rsidRPr="00200A75">
        <w:rPr>
          <w:rFonts w:ascii="Lato" w:hAnsi="Lato"/>
          <w:b/>
          <w:bCs/>
          <w:sz w:val="20"/>
          <w:szCs w:val="20"/>
        </w:rPr>
        <w:t xml:space="preserve">wutlenek chloru </w:t>
      </w:r>
    </w:p>
    <w:p w14:paraId="6F835B23" w14:textId="3287FC9B" w:rsidR="00927709" w:rsidRDefault="00927709" w:rsidP="00927709">
      <w:pPr>
        <w:pStyle w:val="Default"/>
        <w:rPr>
          <w:rFonts w:ascii="Lato" w:hAnsi="Lato"/>
          <w:sz w:val="20"/>
          <w:szCs w:val="20"/>
        </w:rPr>
      </w:pPr>
      <w:r w:rsidRPr="00200A75">
        <w:rPr>
          <w:rFonts w:ascii="Lato" w:hAnsi="Lato"/>
          <w:sz w:val="20"/>
          <w:szCs w:val="20"/>
        </w:rPr>
        <w:t xml:space="preserve">Dwutlenek chloru jest silnym i skutecznym czynnikiem utleniającym i dezynfekującym powszechnie stosowanym w uzdatnianiu wody pitnej i przemysłowej. Jest ok. 3 razy skuteczniejszy niż chlor, przy tej samej dawce. Dozowany do sieci wodociągowej skutecznie zabezpiecza ją przez dwukrotnie dłuższy okres niż podchloryn sodu. Nie powoduje pogorszenia właściwości organoleptycznych wody, jak ma to miejsce w przypadku chloru / podchlorynu sodu. Sam związek jest niestabilny (ulega rozkładowi pod wpływem takich czynników jak: światło, temperatura, czas, wibracje), dlatego wytwarzany jest w miejscu dozowania, w generatorach. Dwutlenek chloru który nie wszedł w reakcję (utlenianie, dezynfekcja), samoczynnie po pewnym czasie rozpada się do postaci chlorynów i chloranów. Ich suma w odniesieniu do wody pitnej jest ograniczona przez polskie prawo do poziomu 0,7mg/l. </w:t>
      </w:r>
    </w:p>
    <w:p w14:paraId="25F2992E" w14:textId="77777777" w:rsidR="00200A75" w:rsidRPr="00200A75" w:rsidRDefault="00200A75" w:rsidP="00927709">
      <w:pPr>
        <w:pStyle w:val="Default"/>
        <w:rPr>
          <w:rFonts w:ascii="Lato" w:hAnsi="Lato"/>
          <w:sz w:val="20"/>
          <w:szCs w:val="20"/>
        </w:rPr>
      </w:pPr>
    </w:p>
    <w:p w14:paraId="1D4C2E60" w14:textId="2BC3AA1E" w:rsidR="00927709" w:rsidRPr="00200A75" w:rsidRDefault="009B6026" w:rsidP="00927709">
      <w:pPr>
        <w:pStyle w:val="Default"/>
        <w:rPr>
          <w:rFonts w:ascii="Lato" w:hAnsi="Lato"/>
          <w:sz w:val="20"/>
          <w:szCs w:val="20"/>
        </w:rPr>
      </w:pPr>
      <w:r>
        <w:rPr>
          <w:rFonts w:ascii="Lato" w:hAnsi="Lato"/>
          <w:b/>
          <w:bCs/>
          <w:sz w:val="20"/>
          <w:szCs w:val="20"/>
        </w:rPr>
        <w:t>Rekomendowana</w:t>
      </w:r>
      <w:r w:rsidR="00200A75" w:rsidRPr="00200A75">
        <w:rPr>
          <w:rFonts w:ascii="Lato" w:hAnsi="Lato"/>
          <w:b/>
          <w:bCs/>
          <w:sz w:val="20"/>
          <w:szCs w:val="20"/>
        </w:rPr>
        <w:t xml:space="preserve"> k</w:t>
      </w:r>
      <w:r w:rsidR="00927709" w:rsidRPr="00200A75">
        <w:rPr>
          <w:rFonts w:ascii="Lato" w:hAnsi="Lato"/>
          <w:b/>
          <w:bCs/>
          <w:sz w:val="20"/>
          <w:szCs w:val="20"/>
        </w:rPr>
        <w:t xml:space="preserve">oncepcja pracy systemu: </w:t>
      </w:r>
    </w:p>
    <w:p w14:paraId="0E9BD8A4" w14:textId="66EB4F80" w:rsidR="00927709" w:rsidRDefault="00927709" w:rsidP="00927709">
      <w:pPr>
        <w:pStyle w:val="Default"/>
        <w:rPr>
          <w:rFonts w:ascii="Lato" w:hAnsi="Lato"/>
          <w:sz w:val="20"/>
          <w:szCs w:val="20"/>
        </w:rPr>
      </w:pPr>
      <w:r w:rsidRPr="00200A75">
        <w:rPr>
          <w:rFonts w:ascii="Lato" w:hAnsi="Lato"/>
          <w:sz w:val="20"/>
          <w:szCs w:val="20"/>
        </w:rPr>
        <w:t xml:space="preserve">Do generatora podłączony jest sygnał impulsowy z wodomierza kontaktowego/przepływomierza. Wodomierz/przepływomierz zainstalowany na rurociągu. Dozowanie dwutlenku chloru odbywa się za pomocą zintegrowanej z generatorem pompki dozującej, proporcjonalnie do przepływu, z dawką programowaną na panelu sterującym generatora. </w:t>
      </w:r>
    </w:p>
    <w:p w14:paraId="6C55E0E0" w14:textId="77777777" w:rsidR="00200A75" w:rsidRPr="00200A75" w:rsidRDefault="00200A75" w:rsidP="00927709">
      <w:pPr>
        <w:pStyle w:val="Default"/>
        <w:rPr>
          <w:rFonts w:ascii="Lato" w:hAnsi="Lato"/>
          <w:sz w:val="20"/>
          <w:szCs w:val="20"/>
        </w:rPr>
      </w:pPr>
    </w:p>
    <w:p w14:paraId="0BD2D529" w14:textId="7455699F" w:rsidR="00927709" w:rsidRPr="00200A75" w:rsidRDefault="009B6026" w:rsidP="00927709">
      <w:pPr>
        <w:pStyle w:val="Default"/>
        <w:rPr>
          <w:rFonts w:ascii="Lato" w:hAnsi="Lato"/>
          <w:sz w:val="20"/>
          <w:szCs w:val="20"/>
        </w:rPr>
      </w:pPr>
      <w:r>
        <w:rPr>
          <w:rFonts w:ascii="Lato" w:hAnsi="Lato"/>
          <w:b/>
          <w:bCs/>
          <w:sz w:val="20"/>
          <w:szCs w:val="20"/>
        </w:rPr>
        <w:t>Rekomendowana</w:t>
      </w:r>
      <w:r w:rsidR="00200A75" w:rsidRPr="00200A75">
        <w:rPr>
          <w:rFonts w:ascii="Lato" w:hAnsi="Lato"/>
          <w:b/>
          <w:bCs/>
          <w:sz w:val="20"/>
          <w:szCs w:val="20"/>
        </w:rPr>
        <w:t xml:space="preserve"> z</w:t>
      </w:r>
      <w:r w:rsidR="00927709" w:rsidRPr="00200A75">
        <w:rPr>
          <w:rFonts w:ascii="Lato" w:hAnsi="Lato"/>
          <w:b/>
          <w:bCs/>
          <w:sz w:val="20"/>
          <w:szCs w:val="20"/>
        </w:rPr>
        <w:t xml:space="preserve">asada działania: </w:t>
      </w:r>
    </w:p>
    <w:p w14:paraId="3248479C" w14:textId="77777777" w:rsidR="00927709" w:rsidRPr="00200A75" w:rsidRDefault="00927709" w:rsidP="00927709">
      <w:pPr>
        <w:pStyle w:val="Default"/>
        <w:rPr>
          <w:rFonts w:ascii="Lato" w:hAnsi="Lato"/>
          <w:sz w:val="20"/>
          <w:szCs w:val="20"/>
        </w:rPr>
      </w:pPr>
      <w:r w:rsidRPr="00200A75">
        <w:rPr>
          <w:rFonts w:ascii="Lato" w:hAnsi="Lato"/>
          <w:sz w:val="20"/>
          <w:szCs w:val="20"/>
        </w:rPr>
        <w:t xml:space="preserve">Generator dozuje w sposób ciągły dwutlenek chloru, proporcjonalnie do przepływu wody, na podstawie sygnału z wodomierza wyposażonego w wyjście impulsowe/przepływomierza. Pobiera reagenty ze zbiorników handlowych 30l oraz wodę bezpośrednio z zewnętrznego przyłącza. Roztwór ClO2 wytwarzany jest w reaktorze umieszczonym nad zbiornikiem magazynowym wytworzonego roztworu. Po osiągnięciu poziomu minimum w zbiorniku magazynowym zostaje on uzupełniony automatycznie z reaktora przy wykorzystaniu zjawiska lewara hydraulicznego. Roztwór dwutlenku chloru ze zbiornika magazynowego podawany jest do punktu dozowania za pomocą precyzyjnej cyfrowej pompy dozującej. Generator posiada zintegrowany sterownik do kontroli procesu produkcji i dozowania dwutlenku chloru. </w:t>
      </w:r>
    </w:p>
    <w:p w14:paraId="19EFEA9D" w14:textId="77777777" w:rsidR="00927709" w:rsidRPr="00200A75" w:rsidRDefault="00927709" w:rsidP="00927709">
      <w:pPr>
        <w:pStyle w:val="Default"/>
        <w:pageBreakBefore/>
        <w:rPr>
          <w:rFonts w:ascii="Lato" w:hAnsi="Lato"/>
          <w:sz w:val="20"/>
          <w:szCs w:val="20"/>
        </w:rPr>
      </w:pPr>
      <w:r w:rsidRPr="00200A75">
        <w:rPr>
          <w:rFonts w:ascii="Lato" w:hAnsi="Lato"/>
          <w:b/>
          <w:bCs/>
          <w:sz w:val="20"/>
          <w:szCs w:val="20"/>
        </w:rPr>
        <w:lastRenderedPageBreak/>
        <w:t xml:space="preserve">Obsługa: </w:t>
      </w:r>
    </w:p>
    <w:p w14:paraId="240852B1" w14:textId="59941BE4" w:rsidR="00927709" w:rsidRPr="00200A75" w:rsidRDefault="00927709" w:rsidP="00927709">
      <w:pPr>
        <w:pStyle w:val="Default"/>
        <w:rPr>
          <w:rFonts w:ascii="Lato" w:hAnsi="Lato"/>
          <w:sz w:val="20"/>
          <w:szCs w:val="20"/>
        </w:rPr>
      </w:pPr>
      <w:r w:rsidRPr="00200A75">
        <w:rPr>
          <w:rFonts w:ascii="Lato" w:hAnsi="Lato"/>
          <w:sz w:val="20"/>
          <w:szCs w:val="20"/>
        </w:rPr>
        <w:t xml:space="preserve">Generator pracuje samodzielnie i automatycznie na tzw. </w:t>
      </w:r>
      <w:r w:rsidRPr="00200A75">
        <w:rPr>
          <w:rFonts w:ascii="Lato" w:hAnsi="Lato"/>
          <w:b/>
          <w:bCs/>
          <w:sz w:val="20"/>
          <w:szCs w:val="20"/>
        </w:rPr>
        <w:t xml:space="preserve">Rozcieńczonych </w:t>
      </w:r>
      <w:r w:rsidRPr="00200A75">
        <w:rPr>
          <w:rFonts w:ascii="Lato" w:hAnsi="Lato"/>
          <w:sz w:val="20"/>
          <w:szCs w:val="20"/>
        </w:rPr>
        <w:t xml:space="preserve">reagentach (kwas solny </w:t>
      </w:r>
      <w:r w:rsidRPr="00200A75">
        <w:rPr>
          <w:rFonts w:ascii="Lato" w:hAnsi="Lato"/>
          <w:b/>
          <w:bCs/>
          <w:sz w:val="20"/>
          <w:szCs w:val="20"/>
        </w:rPr>
        <w:t xml:space="preserve">HCl 9% </w:t>
      </w:r>
      <w:r w:rsidRPr="00200A75">
        <w:rPr>
          <w:rFonts w:ascii="Lato" w:hAnsi="Lato"/>
          <w:sz w:val="20"/>
          <w:szCs w:val="20"/>
        </w:rPr>
        <w:t xml:space="preserve">i chloryn sodu </w:t>
      </w:r>
      <w:r w:rsidRPr="00200A75">
        <w:rPr>
          <w:rFonts w:ascii="Lato" w:hAnsi="Lato"/>
          <w:b/>
          <w:bCs/>
          <w:sz w:val="20"/>
          <w:szCs w:val="20"/>
        </w:rPr>
        <w:t xml:space="preserve">NaClO2 7,5% </w:t>
      </w:r>
      <w:r w:rsidRPr="00200A75">
        <w:rPr>
          <w:rFonts w:ascii="Lato" w:hAnsi="Lato"/>
          <w:sz w:val="20"/>
          <w:szCs w:val="20"/>
        </w:rPr>
        <w:t>),</w:t>
      </w:r>
      <w:r w:rsidR="000D296B">
        <w:rPr>
          <w:rFonts w:ascii="Lato" w:hAnsi="Lato"/>
          <w:sz w:val="20"/>
          <w:szCs w:val="20"/>
        </w:rPr>
        <w:t>.</w:t>
      </w:r>
    </w:p>
    <w:p w14:paraId="6E5918FB" w14:textId="77777777" w:rsidR="00927709" w:rsidRPr="00200A75" w:rsidRDefault="00927709" w:rsidP="00927709">
      <w:pPr>
        <w:pStyle w:val="Default"/>
        <w:rPr>
          <w:rFonts w:ascii="Lato" w:hAnsi="Lato"/>
          <w:sz w:val="20"/>
          <w:szCs w:val="20"/>
        </w:rPr>
      </w:pPr>
      <w:r w:rsidRPr="00200A75">
        <w:rPr>
          <w:rFonts w:ascii="Lato" w:hAnsi="Lato"/>
          <w:sz w:val="20"/>
          <w:szCs w:val="20"/>
        </w:rPr>
        <w:t xml:space="preserve">Obsługa ogranicza się do: </w:t>
      </w:r>
    </w:p>
    <w:p w14:paraId="6B20365D" w14:textId="77777777" w:rsidR="00927709" w:rsidRPr="00200A75" w:rsidRDefault="00927709" w:rsidP="00927709">
      <w:pPr>
        <w:pStyle w:val="Default"/>
        <w:rPr>
          <w:rFonts w:ascii="Lato" w:hAnsi="Lato"/>
          <w:sz w:val="20"/>
          <w:szCs w:val="20"/>
        </w:rPr>
      </w:pPr>
      <w:r w:rsidRPr="00200A75">
        <w:rPr>
          <w:rFonts w:ascii="Lato" w:hAnsi="Lato"/>
          <w:sz w:val="20"/>
          <w:szCs w:val="20"/>
        </w:rPr>
        <w:t xml:space="preserve">- wymiany pojemników z chemikaliami po ich wyczerpaniu (nie wymaga samodzielnego </w:t>
      </w:r>
    </w:p>
    <w:p w14:paraId="4DD27E41" w14:textId="77777777" w:rsidR="00927709" w:rsidRPr="00200A75" w:rsidRDefault="00927709" w:rsidP="00927709">
      <w:pPr>
        <w:pStyle w:val="Default"/>
        <w:rPr>
          <w:rFonts w:ascii="Lato" w:hAnsi="Lato"/>
          <w:sz w:val="20"/>
          <w:szCs w:val="20"/>
        </w:rPr>
      </w:pPr>
      <w:r w:rsidRPr="00200A75">
        <w:rPr>
          <w:rFonts w:ascii="Lato" w:hAnsi="Lato"/>
          <w:sz w:val="20"/>
          <w:szCs w:val="20"/>
        </w:rPr>
        <w:t xml:space="preserve">przelewania odczynników, jedyne podmienienia pojemników) </w:t>
      </w:r>
    </w:p>
    <w:p w14:paraId="1F424FD1" w14:textId="77777777" w:rsidR="00927709" w:rsidRPr="00200A75" w:rsidRDefault="00927709" w:rsidP="00927709">
      <w:pPr>
        <w:pStyle w:val="Default"/>
        <w:rPr>
          <w:rFonts w:ascii="Lato" w:hAnsi="Lato"/>
          <w:sz w:val="20"/>
          <w:szCs w:val="20"/>
        </w:rPr>
      </w:pPr>
      <w:r w:rsidRPr="00200A75">
        <w:rPr>
          <w:rFonts w:ascii="Lato" w:hAnsi="Lato"/>
          <w:sz w:val="20"/>
          <w:szCs w:val="20"/>
        </w:rPr>
        <w:t xml:space="preserve">- kontroli komunikatów na panelu operacyjnym generatora (możliwość przekazu kablem sygnału awarii do pomieszczenia nadzoru) </w:t>
      </w:r>
    </w:p>
    <w:p w14:paraId="4DFCD459" w14:textId="77777777" w:rsidR="00927709" w:rsidRPr="00200A75" w:rsidRDefault="00927709" w:rsidP="00927709">
      <w:pPr>
        <w:pStyle w:val="Default"/>
        <w:rPr>
          <w:rFonts w:ascii="Lato" w:hAnsi="Lato"/>
          <w:sz w:val="20"/>
          <w:szCs w:val="20"/>
        </w:rPr>
      </w:pPr>
      <w:r w:rsidRPr="00200A75">
        <w:rPr>
          <w:rFonts w:ascii="Lato" w:hAnsi="Lato"/>
          <w:sz w:val="20"/>
          <w:szCs w:val="20"/>
        </w:rPr>
        <w:t xml:space="preserve">Zalecamy okresową kontrolę i konserwację systemu przez serwis, np. co pół roku, proponujemy podpisanie umowy serwisowej. </w:t>
      </w:r>
    </w:p>
    <w:p w14:paraId="776B48D9" w14:textId="77777777" w:rsidR="00927709" w:rsidRPr="00200A75" w:rsidRDefault="00927709" w:rsidP="00927709">
      <w:pPr>
        <w:pStyle w:val="Default"/>
        <w:rPr>
          <w:rFonts w:ascii="Lato" w:hAnsi="Lato"/>
          <w:sz w:val="20"/>
          <w:szCs w:val="20"/>
        </w:rPr>
      </w:pPr>
      <w:r w:rsidRPr="00200A75">
        <w:rPr>
          <w:rFonts w:ascii="Lato" w:hAnsi="Lato"/>
          <w:b/>
          <w:bCs/>
          <w:sz w:val="20"/>
          <w:szCs w:val="20"/>
        </w:rPr>
        <w:t xml:space="preserve">Bezpieczeństwo: </w:t>
      </w:r>
    </w:p>
    <w:p w14:paraId="69D6A9F6" w14:textId="77777777" w:rsidR="00927709" w:rsidRPr="00200A75" w:rsidRDefault="00927709" w:rsidP="00927709">
      <w:pPr>
        <w:pStyle w:val="Default"/>
        <w:rPr>
          <w:rFonts w:ascii="Lato" w:hAnsi="Lato"/>
          <w:sz w:val="20"/>
          <w:szCs w:val="20"/>
        </w:rPr>
      </w:pPr>
      <w:r w:rsidRPr="00200A75">
        <w:rPr>
          <w:rFonts w:ascii="Lato" w:hAnsi="Lato"/>
          <w:sz w:val="20"/>
          <w:szCs w:val="20"/>
        </w:rPr>
        <w:t xml:space="preserve">- metoda wytwarzania ClO2 przy pomocy tzw. Rozcieńczonych reagentów zapewnia wyskoki poziom bezpieczeństwa; </w:t>
      </w:r>
    </w:p>
    <w:p w14:paraId="6B432964" w14:textId="77777777" w:rsidR="00927709" w:rsidRPr="00200A75" w:rsidRDefault="00927709" w:rsidP="00927709">
      <w:pPr>
        <w:pStyle w:val="Default"/>
        <w:rPr>
          <w:rFonts w:ascii="Lato" w:hAnsi="Lato"/>
          <w:sz w:val="20"/>
          <w:szCs w:val="20"/>
        </w:rPr>
      </w:pPr>
      <w:r w:rsidRPr="00200A75">
        <w:rPr>
          <w:rFonts w:ascii="Lato" w:hAnsi="Lato"/>
          <w:sz w:val="20"/>
          <w:szCs w:val="20"/>
        </w:rPr>
        <w:t xml:space="preserve">- generator wyposażony w szereg czujników kontroli pracy, każda nieprawidłowość wywołuje zatrzymanie procesu i sygnał alarmowy; </w:t>
      </w:r>
    </w:p>
    <w:p w14:paraId="0A97D82B" w14:textId="77777777" w:rsidR="00927709" w:rsidRPr="00200A75" w:rsidRDefault="00927709" w:rsidP="00927709">
      <w:pPr>
        <w:pStyle w:val="Default"/>
        <w:rPr>
          <w:rFonts w:ascii="Lato" w:hAnsi="Lato"/>
          <w:sz w:val="20"/>
          <w:szCs w:val="20"/>
        </w:rPr>
      </w:pPr>
      <w:r w:rsidRPr="00200A75">
        <w:rPr>
          <w:rFonts w:ascii="Lato" w:hAnsi="Lato"/>
          <w:sz w:val="20"/>
          <w:szCs w:val="20"/>
        </w:rPr>
        <w:t xml:space="preserve">- tace ochronne pod pojemniki reagentów zabezpieczają przed ew. rozlaniem przy uszkodzeniu pojemnika; </w:t>
      </w:r>
    </w:p>
    <w:p w14:paraId="7E4CA064" w14:textId="77777777" w:rsidR="00927709" w:rsidRPr="00200A75" w:rsidRDefault="00927709" w:rsidP="00927709">
      <w:pPr>
        <w:pStyle w:val="Default"/>
        <w:rPr>
          <w:rFonts w:ascii="Lato" w:hAnsi="Lato"/>
          <w:sz w:val="20"/>
          <w:szCs w:val="20"/>
        </w:rPr>
      </w:pPr>
      <w:r w:rsidRPr="00200A75">
        <w:rPr>
          <w:rFonts w:ascii="Lato" w:hAnsi="Lato"/>
          <w:sz w:val="20"/>
          <w:szCs w:val="20"/>
        </w:rPr>
        <w:t xml:space="preserve">- tace i linie ssące są odpowiednio oznaczone i w różnych kolorach aby nie pomylić reagentów; </w:t>
      </w:r>
    </w:p>
    <w:p w14:paraId="5CB21410" w14:textId="77777777" w:rsidR="00927709" w:rsidRPr="00200A75" w:rsidRDefault="00927709" w:rsidP="00927709">
      <w:pPr>
        <w:pStyle w:val="Default"/>
        <w:rPr>
          <w:rFonts w:ascii="Lato" w:hAnsi="Lato"/>
          <w:sz w:val="20"/>
          <w:szCs w:val="20"/>
        </w:rPr>
      </w:pPr>
      <w:r w:rsidRPr="00200A75">
        <w:rPr>
          <w:rFonts w:ascii="Lato" w:hAnsi="Lato"/>
          <w:sz w:val="20"/>
          <w:szCs w:val="20"/>
        </w:rPr>
        <w:t xml:space="preserve">- generator wyczerpuje bezpośrednio pojemniki handlowe, brak operacji obsługi z reagentami; </w:t>
      </w:r>
    </w:p>
    <w:p w14:paraId="36B88DD8" w14:textId="0087FC49" w:rsidR="00927709" w:rsidRDefault="00927709" w:rsidP="00927709">
      <w:pPr>
        <w:pStyle w:val="Default"/>
        <w:rPr>
          <w:rFonts w:ascii="Lato" w:hAnsi="Lato"/>
          <w:sz w:val="20"/>
          <w:szCs w:val="20"/>
        </w:rPr>
      </w:pPr>
      <w:r w:rsidRPr="00200A75">
        <w:rPr>
          <w:rFonts w:ascii="Lato" w:hAnsi="Lato"/>
          <w:sz w:val="20"/>
          <w:szCs w:val="20"/>
        </w:rPr>
        <w:t xml:space="preserve">-dwutlenek chloru dozowany, proporcjonalnie do przepływu, co zapewnia bezpieczeństwo dla konsumentów i brak istotnego zagrożenia korozją dla instalacji wewnętrznych, brak oddziaływania na pH wody. </w:t>
      </w:r>
    </w:p>
    <w:p w14:paraId="7BE63A08" w14:textId="4A4D49FB" w:rsidR="00453798" w:rsidRDefault="00453798" w:rsidP="00927709">
      <w:pPr>
        <w:pStyle w:val="Default"/>
        <w:rPr>
          <w:rFonts w:ascii="Lato" w:hAnsi="Lato"/>
          <w:sz w:val="20"/>
          <w:szCs w:val="20"/>
        </w:rPr>
      </w:pPr>
    </w:p>
    <w:p w14:paraId="121BF7FB" w14:textId="321E2CC9" w:rsidR="00453798" w:rsidRDefault="00453798" w:rsidP="00927709">
      <w:pPr>
        <w:pStyle w:val="Default"/>
        <w:rPr>
          <w:rFonts w:ascii="Lato" w:hAnsi="Lato"/>
          <w:b/>
          <w:bCs/>
          <w:sz w:val="20"/>
          <w:szCs w:val="20"/>
        </w:rPr>
      </w:pPr>
      <w:r>
        <w:rPr>
          <w:rFonts w:ascii="Lato" w:hAnsi="Lato"/>
          <w:sz w:val="20"/>
          <w:szCs w:val="20"/>
        </w:rPr>
        <w:t xml:space="preserve">Rekomendowany </w:t>
      </w:r>
      <w:r w:rsidRPr="00200A75">
        <w:rPr>
          <w:rFonts w:ascii="Lato" w:hAnsi="Lato"/>
          <w:b/>
          <w:bCs/>
          <w:sz w:val="20"/>
          <w:szCs w:val="20"/>
        </w:rPr>
        <w:t xml:space="preserve">Zakres </w:t>
      </w:r>
      <w:r>
        <w:rPr>
          <w:rFonts w:ascii="Lato" w:hAnsi="Lato"/>
          <w:b/>
          <w:bCs/>
          <w:sz w:val="20"/>
          <w:szCs w:val="20"/>
        </w:rPr>
        <w:t>oferty</w:t>
      </w:r>
    </w:p>
    <w:p w14:paraId="4AA8E26D" w14:textId="4C034D68" w:rsidR="00453798" w:rsidRDefault="00453798" w:rsidP="00927709">
      <w:pPr>
        <w:pStyle w:val="Default"/>
        <w:rPr>
          <w:rFonts w:ascii="Lato" w:hAnsi="Lato"/>
          <w:b/>
          <w:bCs/>
          <w:sz w:val="20"/>
          <w:szCs w:val="20"/>
        </w:rPr>
      </w:pPr>
    </w:p>
    <w:tbl>
      <w:tblPr>
        <w:tblStyle w:val="Tabela-Siatka"/>
        <w:tblW w:w="0" w:type="auto"/>
        <w:tblLook w:val="04A0" w:firstRow="1" w:lastRow="0" w:firstColumn="1" w:lastColumn="0" w:noHBand="0" w:noVBand="1"/>
      </w:tblPr>
      <w:tblGrid>
        <w:gridCol w:w="491"/>
        <w:gridCol w:w="7868"/>
        <w:gridCol w:w="703"/>
      </w:tblGrid>
      <w:tr w:rsidR="00453798" w14:paraId="2F2E3A3C" w14:textId="77777777" w:rsidTr="00453798">
        <w:tc>
          <w:tcPr>
            <w:tcW w:w="491" w:type="dxa"/>
          </w:tcPr>
          <w:p w14:paraId="76B8F2BC" w14:textId="7F1523B8" w:rsidR="00453798" w:rsidRDefault="00453798" w:rsidP="00453798">
            <w:pPr>
              <w:pStyle w:val="Default"/>
              <w:rPr>
                <w:rFonts w:ascii="Lato" w:hAnsi="Lato"/>
                <w:b/>
                <w:bCs/>
                <w:sz w:val="20"/>
                <w:szCs w:val="20"/>
              </w:rPr>
            </w:pPr>
            <w:r w:rsidRPr="00200A75">
              <w:rPr>
                <w:rFonts w:ascii="Lato" w:hAnsi="Lato" w:cs="Calibri"/>
                <w:b/>
                <w:bCs/>
                <w:sz w:val="20"/>
                <w:szCs w:val="20"/>
              </w:rPr>
              <w:t xml:space="preserve">Lp. </w:t>
            </w:r>
          </w:p>
        </w:tc>
        <w:tc>
          <w:tcPr>
            <w:tcW w:w="7868" w:type="dxa"/>
          </w:tcPr>
          <w:p w14:paraId="3044FE86" w14:textId="69084C5E" w:rsidR="00453798" w:rsidRDefault="00453798" w:rsidP="00453798">
            <w:pPr>
              <w:pStyle w:val="Default"/>
              <w:rPr>
                <w:rFonts w:ascii="Lato" w:hAnsi="Lato"/>
                <w:b/>
                <w:bCs/>
                <w:sz w:val="20"/>
                <w:szCs w:val="20"/>
              </w:rPr>
            </w:pPr>
            <w:r w:rsidRPr="00200A75">
              <w:rPr>
                <w:rFonts w:ascii="Lato" w:hAnsi="Lato" w:cs="Calibri"/>
                <w:b/>
                <w:bCs/>
                <w:sz w:val="20"/>
                <w:szCs w:val="20"/>
              </w:rPr>
              <w:t xml:space="preserve">Opis </w:t>
            </w:r>
          </w:p>
        </w:tc>
        <w:tc>
          <w:tcPr>
            <w:tcW w:w="703" w:type="dxa"/>
          </w:tcPr>
          <w:p w14:paraId="61E527A1" w14:textId="7E669C2B" w:rsidR="00453798" w:rsidRDefault="00453798" w:rsidP="00453798">
            <w:pPr>
              <w:pStyle w:val="Default"/>
              <w:rPr>
                <w:rFonts w:ascii="Lato" w:hAnsi="Lato"/>
                <w:b/>
                <w:bCs/>
                <w:sz w:val="20"/>
                <w:szCs w:val="20"/>
              </w:rPr>
            </w:pPr>
            <w:r>
              <w:rPr>
                <w:rFonts w:ascii="Lato" w:hAnsi="Lato" w:cs="Calibri"/>
                <w:b/>
                <w:bCs/>
                <w:sz w:val="20"/>
                <w:szCs w:val="20"/>
              </w:rPr>
              <w:t>Ilość</w:t>
            </w:r>
          </w:p>
        </w:tc>
      </w:tr>
      <w:tr w:rsidR="00453798" w14:paraId="23D04C3A" w14:textId="77777777" w:rsidTr="00453798">
        <w:tc>
          <w:tcPr>
            <w:tcW w:w="491" w:type="dxa"/>
          </w:tcPr>
          <w:p w14:paraId="1B7CD51C" w14:textId="4AB0F185" w:rsidR="00453798" w:rsidRDefault="00453798" w:rsidP="00453798">
            <w:pPr>
              <w:pStyle w:val="Default"/>
              <w:rPr>
                <w:rFonts w:ascii="Lato" w:hAnsi="Lato"/>
                <w:b/>
                <w:bCs/>
                <w:sz w:val="20"/>
                <w:szCs w:val="20"/>
              </w:rPr>
            </w:pPr>
            <w:r w:rsidRPr="00200A75">
              <w:rPr>
                <w:rFonts w:ascii="Lato" w:hAnsi="Lato" w:cs="Calibri"/>
                <w:sz w:val="20"/>
                <w:szCs w:val="20"/>
              </w:rPr>
              <w:t xml:space="preserve">1. </w:t>
            </w:r>
          </w:p>
        </w:tc>
        <w:tc>
          <w:tcPr>
            <w:tcW w:w="7868" w:type="dxa"/>
          </w:tcPr>
          <w:p w14:paraId="1F084753" w14:textId="012E62DF" w:rsidR="00453798" w:rsidRDefault="00453798" w:rsidP="00453798">
            <w:pPr>
              <w:pStyle w:val="Default"/>
              <w:rPr>
                <w:rFonts w:ascii="Lato" w:hAnsi="Lato"/>
                <w:b/>
                <w:bCs/>
                <w:sz w:val="20"/>
                <w:szCs w:val="20"/>
              </w:rPr>
            </w:pPr>
            <w:r w:rsidRPr="00200A75">
              <w:rPr>
                <w:rFonts w:ascii="Lato" w:hAnsi="Lato" w:cs="Calibri"/>
                <w:sz w:val="20"/>
                <w:szCs w:val="20"/>
              </w:rPr>
              <w:t xml:space="preserve">Generator ClO2 Oxiperm Pro OCD-162-05-S/G* </w:t>
            </w:r>
          </w:p>
        </w:tc>
        <w:tc>
          <w:tcPr>
            <w:tcW w:w="703" w:type="dxa"/>
          </w:tcPr>
          <w:p w14:paraId="1BA4FED1" w14:textId="6B93B989" w:rsidR="00453798" w:rsidRDefault="00453798" w:rsidP="00453798">
            <w:pPr>
              <w:pStyle w:val="Default"/>
              <w:rPr>
                <w:rFonts w:ascii="Lato" w:hAnsi="Lato"/>
                <w:b/>
                <w:bCs/>
                <w:sz w:val="20"/>
                <w:szCs w:val="20"/>
              </w:rPr>
            </w:pPr>
            <w:r w:rsidRPr="00200A75">
              <w:rPr>
                <w:rFonts w:ascii="Lato" w:hAnsi="Lato" w:cs="Calibri"/>
                <w:sz w:val="20"/>
                <w:szCs w:val="20"/>
              </w:rPr>
              <w:t xml:space="preserve">1 </w:t>
            </w:r>
          </w:p>
        </w:tc>
      </w:tr>
      <w:tr w:rsidR="00453798" w14:paraId="3D018FD9" w14:textId="77777777" w:rsidTr="00453798">
        <w:tc>
          <w:tcPr>
            <w:tcW w:w="491" w:type="dxa"/>
          </w:tcPr>
          <w:p w14:paraId="09091EAC" w14:textId="1D41A346" w:rsidR="00453798" w:rsidRDefault="00453798" w:rsidP="00453798">
            <w:pPr>
              <w:pStyle w:val="Default"/>
              <w:rPr>
                <w:rFonts w:ascii="Lato" w:hAnsi="Lato"/>
                <w:b/>
                <w:bCs/>
                <w:sz w:val="20"/>
                <w:szCs w:val="20"/>
              </w:rPr>
            </w:pPr>
            <w:r w:rsidRPr="00200A75">
              <w:rPr>
                <w:rFonts w:ascii="Lato" w:hAnsi="Lato" w:cs="Calibri"/>
                <w:sz w:val="20"/>
                <w:szCs w:val="20"/>
              </w:rPr>
              <w:t xml:space="preserve">2. </w:t>
            </w:r>
          </w:p>
        </w:tc>
        <w:tc>
          <w:tcPr>
            <w:tcW w:w="7868" w:type="dxa"/>
          </w:tcPr>
          <w:p w14:paraId="3DEA588B" w14:textId="7A218606" w:rsidR="00453798" w:rsidRDefault="00453798" w:rsidP="00453798">
            <w:pPr>
              <w:pStyle w:val="Default"/>
              <w:rPr>
                <w:rFonts w:ascii="Lato" w:hAnsi="Lato"/>
                <w:b/>
                <w:bCs/>
                <w:sz w:val="20"/>
                <w:szCs w:val="20"/>
              </w:rPr>
            </w:pPr>
            <w:r w:rsidRPr="00200A75">
              <w:rPr>
                <w:rFonts w:ascii="Lato" w:hAnsi="Lato" w:cs="Calibri"/>
                <w:sz w:val="20"/>
                <w:szCs w:val="20"/>
              </w:rPr>
              <w:t xml:space="preserve">ZBIORNIK PRZECHWYTUJĄCY PRZECIEKI HCL </w:t>
            </w:r>
          </w:p>
        </w:tc>
        <w:tc>
          <w:tcPr>
            <w:tcW w:w="703" w:type="dxa"/>
          </w:tcPr>
          <w:p w14:paraId="62539ED7" w14:textId="731F8CF6" w:rsidR="00453798" w:rsidRDefault="00453798" w:rsidP="00453798">
            <w:pPr>
              <w:pStyle w:val="Default"/>
              <w:rPr>
                <w:rFonts w:ascii="Lato" w:hAnsi="Lato"/>
                <w:b/>
                <w:bCs/>
                <w:sz w:val="20"/>
                <w:szCs w:val="20"/>
              </w:rPr>
            </w:pPr>
            <w:r w:rsidRPr="00200A75">
              <w:rPr>
                <w:rFonts w:ascii="Lato" w:hAnsi="Lato" w:cs="Calibri"/>
                <w:sz w:val="20"/>
                <w:szCs w:val="20"/>
              </w:rPr>
              <w:t xml:space="preserve">1 </w:t>
            </w:r>
          </w:p>
        </w:tc>
      </w:tr>
      <w:tr w:rsidR="00453798" w14:paraId="6F75F80D" w14:textId="77777777" w:rsidTr="00453798">
        <w:tc>
          <w:tcPr>
            <w:tcW w:w="491" w:type="dxa"/>
          </w:tcPr>
          <w:p w14:paraId="7FF84754" w14:textId="1C6FB214" w:rsidR="00453798" w:rsidRDefault="00453798" w:rsidP="00453798">
            <w:pPr>
              <w:pStyle w:val="Default"/>
              <w:rPr>
                <w:rFonts w:ascii="Lato" w:hAnsi="Lato"/>
                <w:b/>
                <w:bCs/>
                <w:sz w:val="20"/>
                <w:szCs w:val="20"/>
              </w:rPr>
            </w:pPr>
            <w:r>
              <w:rPr>
                <w:rFonts w:ascii="Lato" w:hAnsi="Lato" w:cs="Calibri"/>
                <w:sz w:val="20"/>
                <w:szCs w:val="20"/>
              </w:rPr>
              <w:t>3</w:t>
            </w:r>
            <w:r w:rsidRPr="00200A75">
              <w:rPr>
                <w:rFonts w:ascii="Lato" w:hAnsi="Lato" w:cs="Calibri"/>
                <w:sz w:val="20"/>
                <w:szCs w:val="20"/>
              </w:rPr>
              <w:t xml:space="preserve">. </w:t>
            </w:r>
          </w:p>
        </w:tc>
        <w:tc>
          <w:tcPr>
            <w:tcW w:w="7868" w:type="dxa"/>
          </w:tcPr>
          <w:p w14:paraId="72D55700" w14:textId="040F74B9" w:rsidR="00453798" w:rsidRDefault="00453798" w:rsidP="00453798">
            <w:pPr>
              <w:pStyle w:val="Default"/>
              <w:rPr>
                <w:rFonts w:ascii="Lato" w:hAnsi="Lato"/>
                <w:b/>
                <w:bCs/>
                <w:sz w:val="20"/>
                <w:szCs w:val="20"/>
              </w:rPr>
            </w:pPr>
            <w:r w:rsidRPr="00200A75">
              <w:rPr>
                <w:rFonts w:ascii="Lato" w:hAnsi="Lato" w:cs="Calibri"/>
                <w:sz w:val="20"/>
                <w:szCs w:val="20"/>
              </w:rPr>
              <w:t xml:space="preserve">ZBIORNIK PRZECHWYTUJĄCY PRZECIEKI NAOCL </w:t>
            </w:r>
          </w:p>
        </w:tc>
        <w:tc>
          <w:tcPr>
            <w:tcW w:w="703" w:type="dxa"/>
          </w:tcPr>
          <w:p w14:paraId="7D779401" w14:textId="5FFD8D4F" w:rsidR="00453798" w:rsidRDefault="00453798" w:rsidP="00453798">
            <w:pPr>
              <w:pStyle w:val="Default"/>
              <w:rPr>
                <w:rFonts w:ascii="Lato" w:hAnsi="Lato"/>
                <w:b/>
                <w:bCs/>
                <w:sz w:val="20"/>
                <w:szCs w:val="20"/>
              </w:rPr>
            </w:pPr>
            <w:r w:rsidRPr="00200A75">
              <w:rPr>
                <w:rFonts w:ascii="Lato" w:hAnsi="Lato" w:cs="Calibri"/>
                <w:sz w:val="20"/>
                <w:szCs w:val="20"/>
              </w:rPr>
              <w:t xml:space="preserve">1 </w:t>
            </w:r>
          </w:p>
        </w:tc>
      </w:tr>
      <w:tr w:rsidR="00453798" w14:paraId="5E434E96" w14:textId="77777777" w:rsidTr="00453798">
        <w:tc>
          <w:tcPr>
            <w:tcW w:w="491" w:type="dxa"/>
          </w:tcPr>
          <w:p w14:paraId="1BB9F725" w14:textId="576170B0" w:rsidR="00453798" w:rsidRDefault="00453798" w:rsidP="00453798">
            <w:pPr>
              <w:pStyle w:val="Default"/>
              <w:rPr>
                <w:rFonts w:ascii="Lato" w:hAnsi="Lato"/>
                <w:b/>
                <w:bCs/>
                <w:sz w:val="20"/>
                <w:szCs w:val="20"/>
              </w:rPr>
            </w:pPr>
            <w:r w:rsidRPr="00200A75">
              <w:rPr>
                <w:rFonts w:ascii="Lato" w:hAnsi="Lato" w:cs="Calibri"/>
                <w:sz w:val="20"/>
                <w:szCs w:val="20"/>
              </w:rPr>
              <w:t xml:space="preserve">4. </w:t>
            </w:r>
          </w:p>
        </w:tc>
        <w:tc>
          <w:tcPr>
            <w:tcW w:w="7868" w:type="dxa"/>
          </w:tcPr>
          <w:p w14:paraId="484B19FC" w14:textId="502CE189" w:rsidR="00453798" w:rsidRDefault="00453798" w:rsidP="00453798">
            <w:pPr>
              <w:pStyle w:val="Default"/>
              <w:rPr>
                <w:rFonts w:ascii="Lato" w:hAnsi="Lato"/>
                <w:b/>
                <w:bCs/>
                <w:sz w:val="20"/>
                <w:szCs w:val="20"/>
              </w:rPr>
            </w:pPr>
            <w:r w:rsidRPr="00200A75">
              <w:rPr>
                <w:rFonts w:ascii="Lato" w:hAnsi="Lato" w:cs="Calibri"/>
                <w:sz w:val="20"/>
                <w:szCs w:val="20"/>
              </w:rPr>
              <w:t xml:space="preserve">Uruchomienie układu, szkolenie personelu </w:t>
            </w:r>
          </w:p>
        </w:tc>
        <w:tc>
          <w:tcPr>
            <w:tcW w:w="703" w:type="dxa"/>
          </w:tcPr>
          <w:p w14:paraId="0430C6B2" w14:textId="64D51730" w:rsidR="00453798" w:rsidRDefault="00453798" w:rsidP="00453798">
            <w:pPr>
              <w:pStyle w:val="Default"/>
              <w:rPr>
                <w:rFonts w:ascii="Lato" w:hAnsi="Lato"/>
                <w:b/>
                <w:bCs/>
                <w:sz w:val="20"/>
                <w:szCs w:val="20"/>
              </w:rPr>
            </w:pPr>
            <w:r w:rsidRPr="00200A75">
              <w:rPr>
                <w:rFonts w:ascii="Lato" w:hAnsi="Lato" w:cs="Calibri"/>
                <w:sz w:val="20"/>
                <w:szCs w:val="20"/>
              </w:rPr>
              <w:t xml:space="preserve">1 </w:t>
            </w:r>
          </w:p>
        </w:tc>
      </w:tr>
      <w:tr w:rsidR="00453798" w14:paraId="07FCA24E" w14:textId="77777777" w:rsidTr="00453798">
        <w:tc>
          <w:tcPr>
            <w:tcW w:w="491" w:type="dxa"/>
          </w:tcPr>
          <w:p w14:paraId="572ACBF9" w14:textId="5DE78525" w:rsidR="00453798" w:rsidRDefault="00453798" w:rsidP="00453798">
            <w:pPr>
              <w:pStyle w:val="Default"/>
              <w:rPr>
                <w:rFonts w:ascii="Lato" w:hAnsi="Lato"/>
                <w:b/>
                <w:bCs/>
                <w:sz w:val="20"/>
                <w:szCs w:val="20"/>
              </w:rPr>
            </w:pPr>
            <w:r w:rsidRPr="00200A75">
              <w:rPr>
                <w:rFonts w:ascii="Lato" w:hAnsi="Lato" w:cs="Calibri"/>
                <w:sz w:val="20"/>
                <w:szCs w:val="20"/>
              </w:rPr>
              <w:t xml:space="preserve">5. </w:t>
            </w:r>
          </w:p>
        </w:tc>
        <w:tc>
          <w:tcPr>
            <w:tcW w:w="7868" w:type="dxa"/>
          </w:tcPr>
          <w:p w14:paraId="1FDFF67C" w14:textId="15EBCE2F" w:rsidR="00453798" w:rsidRDefault="00453798" w:rsidP="00453798">
            <w:pPr>
              <w:pStyle w:val="Default"/>
              <w:rPr>
                <w:rFonts w:ascii="Lato" w:hAnsi="Lato"/>
                <w:b/>
                <w:bCs/>
                <w:sz w:val="20"/>
                <w:szCs w:val="20"/>
              </w:rPr>
            </w:pPr>
            <w:r w:rsidRPr="00200A75">
              <w:rPr>
                <w:rFonts w:ascii="Lato" w:hAnsi="Lato" w:cs="Calibri"/>
                <w:sz w:val="20"/>
                <w:szCs w:val="20"/>
              </w:rPr>
              <w:t xml:space="preserve">Montaż, akcesoria montażowe, nadzór nad montażem, podstawowe podłączenie elektryczne </w:t>
            </w:r>
          </w:p>
        </w:tc>
        <w:tc>
          <w:tcPr>
            <w:tcW w:w="703" w:type="dxa"/>
          </w:tcPr>
          <w:p w14:paraId="6DFFC384" w14:textId="1251B094" w:rsidR="00453798" w:rsidRDefault="00453798" w:rsidP="00453798">
            <w:pPr>
              <w:pStyle w:val="Default"/>
              <w:rPr>
                <w:rFonts w:ascii="Lato" w:hAnsi="Lato"/>
                <w:b/>
                <w:bCs/>
                <w:sz w:val="20"/>
                <w:szCs w:val="20"/>
              </w:rPr>
            </w:pPr>
            <w:r w:rsidRPr="00200A75">
              <w:rPr>
                <w:rFonts w:ascii="Lato" w:hAnsi="Lato" w:cs="Calibri"/>
                <w:sz w:val="20"/>
                <w:szCs w:val="20"/>
              </w:rPr>
              <w:t xml:space="preserve">1 </w:t>
            </w:r>
          </w:p>
        </w:tc>
      </w:tr>
      <w:tr w:rsidR="00453798" w14:paraId="1C4B130F" w14:textId="77777777" w:rsidTr="00453798">
        <w:tc>
          <w:tcPr>
            <w:tcW w:w="491" w:type="dxa"/>
          </w:tcPr>
          <w:p w14:paraId="01EB4DDA" w14:textId="62EFC686" w:rsidR="00453798" w:rsidRDefault="00453798" w:rsidP="00453798">
            <w:pPr>
              <w:pStyle w:val="Default"/>
              <w:rPr>
                <w:rFonts w:ascii="Lato" w:hAnsi="Lato"/>
                <w:b/>
                <w:bCs/>
                <w:sz w:val="20"/>
                <w:szCs w:val="20"/>
              </w:rPr>
            </w:pPr>
            <w:r w:rsidRPr="00200A75">
              <w:rPr>
                <w:rFonts w:ascii="Lato" w:hAnsi="Lato" w:cs="Calibri"/>
                <w:sz w:val="20"/>
                <w:szCs w:val="20"/>
              </w:rPr>
              <w:t xml:space="preserve">6. </w:t>
            </w:r>
          </w:p>
        </w:tc>
        <w:tc>
          <w:tcPr>
            <w:tcW w:w="7868" w:type="dxa"/>
          </w:tcPr>
          <w:p w14:paraId="3B164A8F" w14:textId="239FFBB1" w:rsidR="00453798" w:rsidRDefault="00453798" w:rsidP="00453798">
            <w:pPr>
              <w:pStyle w:val="Default"/>
              <w:rPr>
                <w:rFonts w:ascii="Lato" w:hAnsi="Lato"/>
                <w:b/>
                <w:bCs/>
                <w:sz w:val="20"/>
                <w:szCs w:val="20"/>
              </w:rPr>
            </w:pPr>
            <w:r w:rsidRPr="00200A75">
              <w:rPr>
                <w:rFonts w:ascii="Lato" w:hAnsi="Lato" w:cs="Calibri"/>
                <w:sz w:val="20"/>
                <w:szCs w:val="20"/>
              </w:rPr>
              <w:t xml:space="preserve">Wodomierz </w:t>
            </w:r>
          </w:p>
        </w:tc>
        <w:tc>
          <w:tcPr>
            <w:tcW w:w="703" w:type="dxa"/>
          </w:tcPr>
          <w:p w14:paraId="613729CA" w14:textId="4B877630" w:rsidR="00453798" w:rsidRDefault="00453798" w:rsidP="00453798">
            <w:pPr>
              <w:pStyle w:val="Default"/>
              <w:rPr>
                <w:rFonts w:ascii="Lato" w:hAnsi="Lato"/>
                <w:b/>
                <w:bCs/>
                <w:sz w:val="20"/>
                <w:szCs w:val="20"/>
              </w:rPr>
            </w:pPr>
            <w:r w:rsidRPr="00200A75">
              <w:rPr>
                <w:rFonts w:ascii="Lato" w:hAnsi="Lato" w:cs="Calibri"/>
                <w:sz w:val="20"/>
                <w:szCs w:val="20"/>
              </w:rPr>
              <w:t xml:space="preserve">1 </w:t>
            </w:r>
          </w:p>
        </w:tc>
      </w:tr>
      <w:tr w:rsidR="00453798" w14:paraId="044C4373" w14:textId="77777777" w:rsidTr="00453798">
        <w:tc>
          <w:tcPr>
            <w:tcW w:w="491" w:type="dxa"/>
          </w:tcPr>
          <w:p w14:paraId="0726F6C7" w14:textId="26CDF4D1" w:rsidR="00453798" w:rsidRDefault="00453798" w:rsidP="00453798">
            <w:pPr>
              <w:pStyle w:val="Default"/>
              <w:rPr>
                <w:rFonts w:ascii="Lato" w:hAnsi="Lato"/>
                <w:b/>
                <w:bCs/>
                <w:sz w:val="20"/>
                <w:szCs w:val="20"/>
              </w:rPr>
            </w:pPr>
            <w:r w:rsidRPr="00200A75">
              <w:rPr>
                <w:rFonts w:ascii="Lato" w:hAnsi="Lato" w:cs="Calibri"/>
                <w:sz w:val="20"/>
                <w:szCs w:val="20"/>
              </w:rPr>
              <w:t xml:space="preserve">7. </w:t>
            </w:r>
          </w:p>
        </w:tc>
        <w:tc>
          <w:tcPr>
            <w:tcW w:w="7868" w:type="dxa"/>
          </w:tcPr>
          <w:p w14:paraId="7CD5D8FA" w14:textId="4635C68C" w:rsidR="00453798" w:rsidRDefault="00453798" w:rsidP="00453798">
            <w:pPr>
              <w:pStyle w:val="Default"/>
              <w:rPr>
                <w:rFonts w:ascii="Lato" w:hAnsi="Lato"/>
                <w:b/>
                <w:bCs/>
                <w:sz w:val="20"/>
                <w:szCs w:val="20"/>
              </w:rPr>
            </w:pPr>
            <w:r w:rsidRPr="00200A75">
              <w:rPr>
                <w:rFonts w:ascii="Lato" w:hAnsi="Lato" w:cs="Calibri"/>
                <w:sz w:val="20"/>
                <w:szCs w:val="20"/>
              </w:rPr>
              <w:t xml:space="preserve">Zawór dozowania </w:t>
            </w:r>
          </w:p>
        </w:tc>
        <w:tc>
          <w:tcPr>
            <w:tcW w:w="703" w:type="dxa"/>
          </w:tcPr>
          <w:p w14:paraId="32F1E0DD" w14:textId="180ED3C9" w:rsidR="00453798" w:rsidRDefault="00453798" w:rsidP="00453798">
            <w:pPr>
              <w:pStyle w:val="Default"/>
              <w:rPr>
                <w:rFonts w:ascii="Lato" w:hAnsi="Lato"/>
                <w:b/>
                <w:bCs/>
                <w:sz w:val="20"/>
                <w:szCs w:val="20"/>
              </w:rPr>
            </w:pPr>
            <w:r w:rsidRPr="00200A75">
              <w:rPr>
                <w:rFonts w:ascii="Lato" w:hAnsi="Lato" w:cs="Calibri"/>
                <w:sz w:val="20"/>
                <w:szCs w:val="20"/>
              </w:rPr>
              <w:t xml:space="preserve">1 </w:t>
            </w:r>
          </w:p>
        </w:tc>
      </w:tr>
      <w:tr w:rsidR="00453798" w14:paraId="48B7CEDA" w14:textId="77777777" w:rsidTr="00453798">
        <w:tc>
          <w:tcPr>
            <w:tcW w:w="491" w:type="dxa"/>
          </w:tcPr>
          <w:p w14:paraId="7CC438FD" w14:textId="0BDF8137" w:rsidR="00453798" w:rsidRDefault="00453798" w:rsidP="00453798">
            <w:pPr>
              <w:pStyle w:val="Default"/>
              <w:rPr>
                <w:rFonts w:ascii="Lato" w:hAnsi="Lato"/>
                <w:b/>
                <w:bCs/>
                <w:sz w:val="20"/>
                <w:szCs w:val="20"/>
              </w:rPr>
            </w:pPr>
            <w:r w:rsidRPr="00200A75">
              <w:rPr>
                <w:rFonts w:ascii="Lato" w:hAnsi="Lato" w:cs="Calibri"/>
                <w:sz w:val="20"/>
                <w:szCs w:val="20"/>
              </w:rPr>
              <w:t xml:space="preserve">8. </w:t>
            </w:r>
          </w:p>
        </w:tc>
        <w:tc>
          <w:tcPr>
            <w:tcW w:w="7868" w:type="dxa"/>
          </w:tcPr>
          <w:p w14:paraId="0ECB342E" w14:textId="186CE17E" w:rsidR="00453798" w:rsidRDefault="00453798" w:rsidP="00453798">
            <w:pPr>
              <w:pStyle w:val="Default"/>
              <w:rPr>
                <w:rFonts w:ascii="Lato" w:hAnsi="Lato"/>
                <w:b/>
                <w:bCs/>
                <w:sz w:val="20"/>
                <w:szCs w:val="20"/>
              </w:rPr>
            </w:pPr>
            <w:r w:rsidRPr="00200A75">
              <w:rPr>
                <w:rFonts w:ascii="Lato" w:hAnsi="Lato" w:cs="Calibri"/>
                <w:sz w:val="20"/>
                <w:szCs w:val="20"/>
              </w:rPr>
              <w:t xml:space="preserve">Punkt poboru </w:t>
            </w:r>
          </w:p>
        </w:tc>
        <w:tc>
          <w:tcPr>
            <w:tcW w:w="703" w:type="dxa"/>
          </w:tcPr>
          <w:p w14:paraId="249D7C57" w14:textId="24134F54" w:rsidR="00453798" w:rsidRDefault="00453798" w:rsidP="00453798">
            <w:pPr>
              <w:pStyle w:val="Default"/>
              <w:rPr>
                <w:rFonts w:ascii="Lato" w:hAnsi="Lato"/>
                <w:b/>
                <w:bCs/>
                <w:sz w:val="20"/>
                <w:szCs w:val="20"/>
              </w:rPr>
            </w:pPr>
            <w:r w:rsidRPr="00200A75">
              <w:rPr>
                <w:rFonts w:ascii="Lato" w:hAnsi="Lato" w:cs="Calibri"/>
                <w:sz w:val="20"/>
                <w:szCs w:val="20"/>
              </w:rPr>
              <w:t xml:space="preserve">1 </w:t>
            </w:r>
          </w:p>
        </w:tc>
      </w:tr>
      <w:tr w:rsidR="00453798" w14:paraId="13C7B342" w14:textId="77777777" w:rsidTr="00453798">
        <w:tc>
          <w:tcPr>
            <w:tcW w:w="491" w:type="dxa"/>
          </w:tcPr>
          <w:p w14:paraId="4E875258" w14:textId="13D717F8" w:rsidR="00453798" w:rsidRDefault="00453798" w:rsidP="00453798">
            <w:pPr>
              <w:pStyle w:val="Default"/>
              <w:rPr>
                <w:rFonts w:ascii="Lato" w:hAnsi="Lato"/>
                <w:b/>
                <w:bCs/>
                <w:sz w:val="20"/>
                <w:szCs w:val="20"/>
              </w:rPr>
            </w:pPr>
            <w:r w:rsidRPr="00200A75">
              <w:rPr>
                <w:rFonts w:ascii="Lato" w:hAnsi="Lato" w:cs="Calibri"/>
                <w:sz w:val="20"/>
                <w:szCs w:val="20"/>
              </w:rPr>
              <w:t xml:space="preserve">9. </w:t>
            </w:r>
          </w:p>
        </w:tc>
        <w:tc>
          <w:tcPr>
            <w:tcW w:w="7868" w:type="dxa"/>
          </w:tcPr>
          <w:p w14:paraId="386EC8F2" w14:textId="3DBF3F63" w:rsidR="00453798" w:rsidRDefault="00453798" w:rsidP="00453798">
            <w:pPr>
              <w:pStyle w:val="Default"/>
              <w:rPr>
                <w:rFonts w:ascii="Lato" w:hAnsi="Lato"/>
                <w:b/>
                <w:bCs/>
                <w:sz w:val="20"/>
                <w:szCs w:val="20"/>
              </w:rPr>
            </w:pPr>
            <w:r w:rsidRPr="00200A75">
              <w:rPr>
                <w:rFonts w:ascii="Lato" w:hAnsi="Lato" w:cs="Calibri"/>
                <w:sz w:val="20"/>
                <w:szCs w:val="20"/>
              </w:rPr>
              <w:t xml:space="preserve">Odczynniki chemiczne </w:t>
            </w:r>
          </w:p>
        </w:tc>
        <w:tc>
          <w:tcPr>
            <w:tcW w:w="703" w:type="dxa"/>
          </w:tcPr>
          <w:p w14:paraId="0D1FB0A0" w14:textId="6CEF9EF1" w:rsidR="00453798" w:rsidRDefault="00453798" w:rsidP="00453798">
            <w:pPr>
              <w:pStyle w:val="Default"/>
              <w:rPr>
                <w:rFonts w:ascii="Lato" w:hAnsi="Lato"/>
                <w:b/>
                <w:bCs/>
                <w:sz w:val="20"/>
                <w:szCs w:val="20"/>
              </w:rPr>
            </w:pPr>
            <w:r w:rsidRPr="00200A75">
              <w:rPr>
                <w:rFonts w:ascii="Lato" w:hAnsi="Lato" w:cs="Calibri"/>
                <w:sz w:val="20"/>
                <w:szCs w:val="20"/>
              </w:rPr>
              <w:t xml:space="preserve">1 </w:t>
            </w:r>
          </w:p>
        </w:tc>
      </w:tr>
      <w:tr w:rsidR="00453798" w14:paraId="028DD0CF" w14:textId="77777777" w:rsidTr="00453798">
        <w:tc>
          <w:tcPr>
            <w:tcW w:w="491" w:type="dxa"/>
          </w:tcPr>
          <w:p w14:paraId="6F34A93D" w14:textId="3FB1658F" w:rsidR="00453798" w:rsidRDefault="00453798" w:rsidP="00453798">
            <w:pPr>
              <w:pStyle w:val="Default"/>
              <w:rPr>
                <w:rFonts w:ascii="Lato" w:hAnsi="Lato"/>
                <w:b/>
                <w:bCs/>
                <w:sz w:val="20"/>
                <w:szCs w:val="20"/>
              </w:rPr>
            </w:pPr>
            <w:r w:rsidRPr="00200A75">
              <w:rPr>
                <w:rFonts w:ascii="Lato" w:hAnsi="Lato" w:cs="Calibri"/>
                <w:sz w:val="20"/>
                <w:szCs w:val="20"/>
              </w:rPr>
              <w:t xml:space="preserve">10. </w:t>
            </w:r>
          </w:p>
        </w:tc>
        <w:tc>
          <w:tcPr>
            <w:tcW w:w="7868" w:type="dxa"/>
          </w:tcPr>
          <w:p w14:paraId="524D8730" w14:textId="1391E8E8" w:rsidR="00453798" w:rsidRDefault="00453798" w:rsidP="00453798">
            <w:pPr>
              <w:pStyle w:val="Default"/>
              <w:rPr>
                <w:rFonts w:ascii="Lato" w:hAnsi="Lato"/>
                <w:b/>
                <w:bCs/>
                <w:sz w:val="20"/>
                <w:szCs w:val="20"/>
              </w:rPr>
            </w:pPr>
            <w:r w:rsidRPr="00200A75">
              <w:rPr>
                <w:rFonts w:ascii="Lato" w:hAnsi="Lato" w:cs="Calibri"/>
                <w:sz w:val="20"/>
                <w:szCs w:val="20"/>
              </w:rPr>
              <w:t xml:space="preserve">Komplet wężyków </w:t>
            </w:r>
          </w:p>
        </w:tc>
        <w:tc>
          <w:tcPr>
            <w:tcW w:w="703" w:type="dxa"/>
          </w:tcPr>
          <w:p w14:paraId="03482A5D" w14:textId="5FA0CA78" w:rsidR="00453798" w:rsidRDefault="00453798" w:rsidP="00453798">
            <w:pPr>
              <w:pStyle w:val="Default"/>
              <w:rPr>
                <w:rFonts w:ascii="Lato" w:hAnsi="Lato"/>
                <w:b/>
                <w:bCs/>
                <w:sz w:val="20"/>
                <w:szCs w:val="20"/>
              </w:rPr>
            </w:pPr>
            <w:r w:rsidRPr="00200A75">
              <w:rPr>
                <w:rFonts w:ascii="Lato" w:hAnsi="Lato" w:cs="Calibri"/>
                <w:sz w:val="20"/>
                <w:szCs w:val="20"/>
              </w:rPr>
              <w:t xml:space="preserve">1 </w:t>
            </w:r>
          </w:p>
        </w:tc>
      </w:tr>
      <w:tr w:rsidR="00487B8D" w14:paraId="57E1DFA6" w14:textId="77777777" w:rsidTr="00453798">
        <w:tc>
          <w:tcPr>
            <w:tcW w:w="491" w:type="dxa"/>
          </w:tcPr>
          <w:p w14:paraId="1EEA89D2" w14:textId="4924F1B1" w:rsidR="00487B8D" w:rsidRPr="00200A75" w:rsidRDefault="00487B8D" w:rsidP="00453798">
            <w:pPr>
              <w:pStyle w:val="Default"/>
              <w:rPr>
                <w:rFonts w:ascii="Lato" w:hAnsi="Lato" w:cs="Calibri"/>
                <w:sz w:val="20"/>
                <w:szCs w:val="20"/>
              </w:rPr>
            </w:pPr>
            <w:r>
              <w:rPr>
                <w:rFonts w:ascii="Lato" w:hAnsi="Lato" w:cs="Calibri"/>
                <w:sz w:val="20"/>
                <w:szCs w:val="20"/>
              </w:rPr>
              <w:t xml:space="preserve">11. </w:t>
            </w:r>
          </w:p>
        </w:tc>
        <w:tc>
          <w:tcPr>
            <w:tcW w:w="7868" w:type="dxa"/>
          </w:tcPr>
          <w:p w14:paraId="26B60359" w14:textId="1C7C1357" w:rsidR="00487B8D" w:rsidRPr="00487B8D" w:rsidRDefault="00487B8D" w:rsidP="00487B8D">
            <w:pPr>
              <w:pStyle w:val="Default"/>
              <w:rPr>
                <w:rFonts w:ascii="Lato" w:hAnsi="Lato"/>
                <w:sz w:val="20"/>
                <w:szCs w:val="20"/>
              </w:rPr>
            </w:pPr>
            <w:r>
              <w:rPr>
                <w:rFonts w:ascii="Lato" w:hAnsi="Lato"/>
                <w:sz w:val="20"/>
                <w:szCs w:val="20"/>
              </w:rPr>
              <w:t>O</w:t>
            </w:r>
            <w:r>
              <w:rPr>
                <w:rFonts w:ascii="Lato" w:hAnsi="Lato"/>
                <w:sz w:val="20"/>
                <w:szCs w:val="20"/>
              </w:rPr>
              <w:t>pcjona</w:t>
            </w:r>
            <w:r>
              <w:rPr>
                <w:rFonts w:ascii="Lato" w:hAnsi="Lato"/>
                <w:sz w:val="20"/>
                <w:szCs w:val="20"/>
              </w:rPr>
              <w:t>,</w:t>
            </w:r>
            <w:r>
              <w:rPr>
                <w:rFonts w:ascii="Lato" w:hAnsi="Lato"/>
                <w:sz w:val="20"/>
                <w:szCs w:val="20"/>
              </w:rPr>
              <w:t xml:space="preserve"> cela pomiarowa (system pomiarowy) stężenia preparatu w wodzie użytkowej</w:t>
            </w:r>
          </w:p>
        </w:tc>
        <w:tc>
          <w:tcPr>
            <w:tcW w:w="703" w:type="dxa"/>
          </w:tcPr>
          <w:p w14:paraId="2FAB40CE" w14:textId="7AEB50BF" w:rsidR="00487B8D" w:rsidRPr="00200A75" w:rsidRDefault="00487B8D" w:rsidP="00453798">
            <w:pPr>
              <w:pStyle w:val="Default"/>
              <w:rPr>
                <w:rFonts w:ascii="Lato" w:hAnsi="Lato" w:cs="Calibri"/>
                <w:sz w:val="20"/>
                <w:szCs w:val="20"/>
              </w:rPr>
            </w:pPr>
            <w:r>
              <w:rPr>
                <w:rFonts w:ascii="Lato" w:hAnsi="Lato" w:cs="Calibri"/>
                <w:sz w:val="20"/>
                <w:szCs w:val="20"/>
              </w:rPr>
              <w:t>1</w:t>
            </w:r>
          </w:p>
        </w:tc>
      </w:tr>
    </w:tbl>
    <w:p w14:paraId="35BD7882" w14:textId="77777777" w:rsidR="00453798" w:rsidRDefault="00453798" w:rsidP="00927709">
      <w:pPr>
        <w:pStyle w:val="Default"/>
        <w:rPr>
          <w:rFonts w:ascii="Lato" w:hAnsi="Lato"/>
          <w:b/>
          <w:bCs/>
          <w:sz w:val="20"/>
          <w:szCs w:val="20"/>
        </w:rPr>
      </w:pPr>
    </w:p>
    <w:p w14:paraId="3779EF99" w14:textId="77777777" w:rsidR="00453798" w:rsidRPr="00200A75" w:rsidRDefault="00453798" w:rsidP="00927709">
      <w:pPr>
        <w:pStyle w:val="Default"/>
        <w:rPr>
          <w:rFonts w:ascii="Lato" w:hAnsi="Lato"/>
          <w:sz w:val="20"/>
          <w:szCs w:val="20"/>
        </w:rPr>
      </w:pPr>
    </w:p>
    <w:p w14:paraId="5E64AF32" w14:textId="77777777" w:rsidR="00EB48D4" w:rsidRPr="00200A75" w:rsidRDefault="00EB48D4">
      <w:pPr>
        <w:rPr>
          <w:rFonts w:ascii="Lato" w:hAnsi="Lato"/>
          <w:sz w:val="20"/>
          <w:szCs w:val="20"/>
        </w:rPr>
      </w:pPr>
    </w:p>
    <w:sectPr w:rsidR="00EB48D4" w:rsidRPr="00200A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w:altName w:val="Lato"/>
    <w:panose1 w:val="020F0502020204030203"/>
    <w:charset w:val="EE"/>
    <w:family w:val="swiss"/>
    <w:pitch w:val="variable"/>
    <w:sig w:usb0="A00000AF" w:usb1="5000604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709"/>
    <w:rsid w:val="000D296B"/>
    <w:rsid w:val="00200A75"/>
    <w:rsid w:val="003A68C1"/>
    <w:rsid w:val="00453798"/>
    <w:rsid w:val="00487B8D"/>
    <w:rsid w:val="00701244"/>
    <w:rsid w:val="00927709"/>
    <w:rsid w:val="009B6026"/>
    <w:rsid w:val="00EB48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FFCDA"/>
  <w15:chartTrackingRefBased/>
  <w15:docId w15:val="{EA4841B2-844B-47C6-9D60-37B22084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0A7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27709"/>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39"/>
    <w:rsid w:val="00453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34960-114B-44FA-9164-7F503ECD0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668</Words>
  <Characters>4011</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Damętka</dc:creator>
  <cp:keywords/>
  <dc:description/>
  <cp:lastModifiedBy>Marcin Prokopiuk</cp:lastModifiedBy>
  <cp:revision>3</cp:revision>
  <dcterms:created xsi:type="dcterms:W3CDTF">2023-01-02T12:00:00Z</dcterms:created>
  <dcterms:modified xsi:type="dcterms:W3CDTF">2023-01-02T12:08:00Z</dcterms:modified>
</cp:coreProperties>
</file>