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Ind w:w="-5" w:type="dxa"/>
        <w:tblLook w:val="04A0" w:firstRow="1" w:lastRow="0" w:firstColumn="1" w:lastColumn="0" w:noHBand="0" w:noVBand="1"/>
      </w:tblPr>
      <w:tblGrid>
        <w:gridCol w:w="597"/>
        <w:gridCol w:w="3705"/>
        <w:gridCol w:w="1859"/>
        <w:gridCol w:w="1339"/>
        <w:gridCol w:w="1567"/>
      </w:tblGrid>
      <w:tr w:rsidR="00FB403E" w:rsidRPr="00017031" w14:paraId="3E8005A7" w14:textId="4ED37114" w:rsidTr="003A3CB4">
        <w:tc>
          <w:tcPr>
            <w:tcW w:w="597" w:type="dxa"/>
            <w:vMerge w:val="restart"/>
            <w:vAlign w:val="center"/>
          </w:tcPr>
          <w:p w14:paraId="711D8D52" w14:textId="62378A8E" w:rsidR="00FB403E" w:rsidRPr="00F9788C" w:rsidRDefault="00FB403E" w:rsidP="00F9788C">
            <w:pPr>
              <w:autoSpaceDE w:val="0"/>
              <w:autoSpaceDN w:val="0"/>
              <w:adjustRightInd w:val="0"/>
              <w:spacing w:beforeLines="40" w:before="96" w:afterLines="40" w:after="96" w:line="240" w:lineRule="auto"/>
              <w:jc w:val="center"/>
              <w:rPr>
                <w:b/>
                <w:bCs/>
              </w:rPr>
            </w:pPr>
            <w:bookmarkStart w:id="0" w:name="_Hlk176873735"/>
            <w:r w:rsidRPr="00F9788C">
              <w:rPr>
                <w:b/>
                <w:bCs/>
              </w:rPr>
              <w:t>L</w:t>
            </w:r>
            <w:r w:rsidR="00F9788C" w:rsidRPr="00F9788C">
              <w:rPr>
                <w:b/>
                <w:bCs/>
              </w:rPr>
              <w:t>p.</w:t>
            </w:r>
          </w:p>
        </w:tc>
        <w:tc>
          <w:tcPr>
            <w:tcW w:w="3705" w:type="dxa"/>
            <w:vMerge w:val="restart"/>
            <w:vAlign w:val="center"/>
          </w:tcPr>
          <w:p w14:paraId="15C38086" w14:textId="77777777" w:rsidR="00FB403E" w:rsidRPr="00F9788C" w:rsidRDefault="00FB403E" w:rsidP="00F9788C">
            <w:pPr>
              <w:autoSpaceDE w:val="0"/>
              <w:autoSpaceDN w:val="0"/>
              <w:adjustRightInd w:val="0"/>
              <w:spacing w:beforeLines="40" w:before="96" w:afterLines="40" w:after="96" w:line="240" w:lineRule="auto"/>
              <w:jc w:val="center"/>
              <w:rPr>
                <w:b/>
                <w:bCs/>
              </w:rPr>
            </w:pPr>
            <w:r w:rsidRPr="00F9788C">
              <w:rPr>
                <w:b/>
                <w:bCs/>
              </w:rPr>
              <w:t>Substancja</w:t>
            </w:r>
          </w:p>
        </w:tc>
        <w:tc>
          <w:tcPr>
            <w:tcW w:w="1859" w:type="dxa"/>
            <w:vMerge w:val="restart"/>
            <w:vAlign w:val="center"/>
          </w:tcPr>
          <w:p w14:paraId="0826405E" w14:textId="77777777" w:rsidR="00FB403E" w:rsidRPr="00F9788C" w:rsidRDefault="00FB403E" w:rsidP="00F9788C">
            <w:pPr>
              <w:autoSpaceDE w:val="0"/>
              <w:autoSpaceDN w:val="0"/>
              <w:adjustRightInd w:val="0"/>
              <w:spacing w:beforeLines="40" w:before="96" w:afterLines="40" w:after="96" w:line="240" w:lineRule="auto"/>
              <w:jc w:val="center"/>
              <w:rPr>
                <w:b/>
                <w:bCs/>
              </w:rPr>
            </w:pPr>
            <w:r w:rsidRPr="00F9788C">
              <w:rPr>
                <w:b/>
                <w:bCs/>
              </w:rPr>
              <w:t>Średnia dobowa</w:t>
            </w:r>
          </w:p>
        </w:tc>
        <w:tc>
          <w:tcPr>
            <w:tcW w:w="2906" w:type="dxa"/>
            <w:gridSpan w:val="2"/>
            <w:vAlign w:val="center"/>
          </w:tcPr>
          <w:p w14:paraId="20A5E3B6" w14:textId="68437196" w:rsidR="00FB403E" w:rsidRPr="00017031" w:rsidRDefault="00FB403E" w:rsidP="00F9788C">
            <w:pPr>
              <w:autoSpaceDE w:val="0"/>
              <w:autoSpaceDN w:val="0"/>
              <w:adjustRightInd w:val="0"/>
              <w:spacing w:beforeLines="40" w:before="96" w:afterLines="40" w:after="96" w:line="240" w:lineRule="auto"/>
              <w:jc w:val="center"/>
              <w:rPr>
                <w:b/>
                <w:bCs/>
              </w:rPr>
            </w:pPr>
            <w:r>
              <w:rPr>
                <w:b/>
                <w:bCs/>
              </w:rPr>
              <w:t>Średnia trzydziestominutowa</w:t>
            </w:r>
          </w:p>
        </w:tc>
      </w:tr>
      <w:tr w:rsidR="00FB403E" w:rsidRPr="00017031" w14:paraId="27BBDAB7" w14:textId="77777777" w:rsidTr="003A3CB4">
        <w:tc>
          <w:tcPr>
            <w:tcW w:w="597" w:type="dxa"/>
            <w:vMerge/>
            <w:vAlign w:val="center"/>
          </w:tcPr>
          <w:p w14:paraId="56921BE0" w14:textId="77777777" w:rsidR="00FB403E" w:rsidRPr="00017031" w:rsidRDefault="00FB403E" w:rsidP="00F9788C">
            <w:pPr>
              <w:autoSpaceDE w:val="0"/>
              <w:autoSpaceDN w:val="0"/>
              <w:adjustRightInd w:val="0"/>
              <w:spacing w:beforeLines="40" w:before="96" w:afterLines="40" w:after="96" w:line="240" w:lineRule="auto"/>
              <w:jc w:val="center"/>
              <w:rPr>
                <w:b/>
                <w:bCs/>
              </w:rPr>
            </w:pPr>
          </w:p>
        </w:tc>
        <w:tc>
          <w:tcPr>
            <w:tcW w:w="3705" w:type="dxa"/>
            <w:vMerge/>
            <w:vAlign w:val="center"/>
          </w:tcPr>
          <w:p w14:paraId="3E4435CB" w14:textId="77777777" w:rsidR="00FB403E" w:rsidRPr="00017031" w:rsidRDefault="00FB403E" w:rsidP="00F9788C">
            <w:pPr>
              <w:autoSpaceDE w:val="0"/>
              <w:autoSpaceDN w:val="0"/>
              <w:adjustRightInd w:val="0"/>
              <w:spacing w:beforeLines="40" w:before="96" w:afterLines="40" w:after="96" w:line="240" w:lineRule="auto"/>
              <w:jc w:val="center"/>
              <w:rPr>
                <w:b/>
                <w:bCs/>
              </w:rPr>
            </w:pPr>
          </w:p>
        </w:tc>
        <w:tc>
          <w:tcPr>
            <w:tcW w:w="1859" w:type="dxa"/>
            <w:vMerge/>
            <w:vAlign w:val="center"/>
          </w:tcPr>
          <w:p w14:paraId="59D08948" w14:textId="77777777" w:rsidR="00FB403E" w:rsidRPr="00017031" w:rsidRDefault="00FB403E" w:rsidP="00F9788C">
            <w:pPr>
              <w:autoSpaceDE w:val="0"/>
              <w:autoSpaceDN w:val="0"/>
              <w:adjustRightInd w:val="0"/>
              <w:spacing w:beforeLines="40" w:before="96" w:afterLines="40" w:after="96" w:line="240" w:lineRule="auto"/>
              <w:jc w:val="center"/>
              <w:rPr>
                <w:b/>
                <w:bCs/>
              </w:rPr>
            </w:pPr>
          </w:p>
        </w:tc>
        <w:tc>
          <w:tcPr>
            <w:tcW w:w="1339" w:type="dxa"/>
            <w:vAlign w:val="center"/>
          </w:tcPr>
          <w:p w14:paraId="5617C091" w14:textId="1C6A6A11" w:rsidR="00FB403E" w:rsidRDefault="00FB403E" w:rsidP="00F9788C">
            <w:pPr>
              <w:autoSpaceDE w:val="0"/>
              <w:autoSpaceDN w:val="0"/>
              <w:adjustRightInd w:val="0"/>
              <w:spacing w:beforeLines="40" w:before="96" w:afterLines="40" w:after="96" w:line="240" w:lineRule="auto"/>
              <w:jc w:val="center"/>
              <w:rPr>
                <w:b/>
                <w:bCs/>
              </w:rPr>
            </w:pPr>
            <w:r w:rsidRPr="004F495B">
              <w:rPr>
                <w:b/>
                <w:bCs/>
              </w:rPr>
              <w:t>A</w:t>
            </w:r>
          </w:p>
        </w:tc>
        <w:tc>
          <w:tcPr>
            <w:tcW w:w="1567" w:type="dxa"/>
            <w:vAlign w:val="center"/>
          </w:tcPr>
          <w:p w14:paraId="302F7582" w14:textId="3973D7C2" w:rsidR="00FB403E" w:rsidRDefault="00FB403E" w:rsidP="00F9788C">
            <w:pPr>
              <w:autoSpaceDE w:val="0"/>
              <w:autoSpaceDN w:val="0"/>
              <w:adjustRightInd w:val="0"/>
              <w:spacing w:beforeLines="40" w:before="96" w:afterLines="40" w:after="96" w:line="240" w:lineRule="auto"/>
              <w:jc w:val="center"/>
              <w:rPr>
                <w:b/>
                <w:bCs/>
              </w:rPr>
            </w:pPr>
            <w:r w:rsidRPr="004F495B">
              <w:rPr>
                <w:b/>
                <w:bCs/>
              </w:rPr>
              <w:t>B</w:t>
            </w:r>
          </w:p>
        </w:tc>
      </w:tr>
      <w:tr w:rsidR="00FB403E" w:rsidRPr="00017031" w14:paraId="4F6EF3C4" w14:textId="171D6F9F" w:rsidTr="003A3CB4">
        <w:tc>
          <w:tcPr>
            <w:tcW w:w="597" w:type="dxa"/>
            <w:vAlign w:val="center"/>
          </w:tcPr>
          <w:p w14:paraId="5065B7A7"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69434F4B"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 xml:space="preserve">Pył </w:t>
            </w:r>
          </w:p>
        </w:tc>
        <w:tc>
          <w:tcPr>
            <w:tcW w:w="1859" w:type="dxa"/>
            <w:vAlign w:val="center"/>
          </w:tcPr>
          <w:p w14:paraId="5645D0FA" w14:textId="77777777"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4 mg/Nm</w:t>
            </w:r>
            <w:r w:rsidRPr="00017031">
              <w:rPr>
                <w:sz w:val="22"/>
                <w:szCs w:val="22"/>
                <w:vertAlign w:val="superscript"/>
              </w:rPr>
              <w:t>3</w:t>
            </w:r>
          </w:p>
        </w:tc>
        <w:tc>
          <w:tcPr>
            <w:tcW w:w="1339" w:type="dxa"/>
            <w:vAlign w:val="center"/>
          </w:tcPr>
          <w:p w14:paraId="60890746" w14:textId="7D852597" w:rsidR="00FB403E" w:rsidRPr="00017031" w:rsidRDefault="00FB403E" w:rsidP="00F9788C">
            <w:pPr>
              <w:autoSpaceDE w:val="0"/>
              <w:autoSpaceDN w:val="0"/>
              <w:adjustRightInd w:val="0"/>
              <w:spacing w:beforeLines="40" w:before="96" w:afterLines="40" w:after="96" w:line="240" w:lineRule="auto"/>
              <w:jc w:val="center"/>
            </w:pPr>
            <w:r>
              <w:t xml:space="preserve">30 </w:t>
            </w:r>
            <w:r w:rsidRPr="00044A18">
              <w:t>mg/Nm</w:t>
            </w:r>
            <w:r w:rsidRPr="00044A18">
              <w:rPr>
                <w:vertAlign w:val="superscript"/>
              </w:rPr>
              <w:t>3</w:t>
            </w:r>
          </w:p>
        </w:tc>
        <w:tc>
          <w:tcPr>
            <w:tcW w:w="1567" w:type="dxa"/>
            <w:vAlign w:val="center"/>
          </w:tcPr>
          <w:p w14:paraId="5F4FEA92" w14:textId="35FB189C" w:rsidR="00FB403E" w:rsidRPr="00017031" w:rsidRDefault="00FB403E" w:rsidP="00F9788C">
            <w:pPr>
              <w:autoSpaceDE w:val="0"/>
              <w:autoSpaceDN w:val="0"/>
              <w:adjustRightInd w:val="0"/>
              <w:spacing w:beforeLines="40" w:before="96" w:afterLines="40" w:after="96" w:line="240" w:lineRule="auto"/>
              <w:jc w:val="center"/>
            </w:pPr>
            <w:r>
              <w:t>10</w:t>
            </w:r>
            <w:r w:rsidRPr="00044A18">
              <w:t xml:space="preserve"> mg/Nm</w:t>
            </w:r>
            <w:r w:rsidRPr="00044A18">
              <w:rPr>
                <w:vertAlign w:val="superscript"/>
              </w:rPr>
              <w:t>3</w:t>
            </w:r>
          </w:p>
        </w:tc>
      </w:tr>
      <w:tr w:rsidR="00FB403E" w:rsidRPr="00017031" w14:paraId="72143EC3" w14:textId="17E6CBA4" w:rsidTr="003A3CB4">
        <w:tc>
          <w:tcPr>
            <w:tcW w:w="597" w:type="dxa"/>
            <w:vAlign w:val="center"/>
          </w:tcPr>
          <w:p w14:paraId="6E8A8416"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52FA30AF"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Substancje organiczne w postaci gazów i par wyrażone jako całkowity węgiel organiczny</w:t>
            </w:r>
          </w:p>
        </w:tc>
        <w:tc>
          <w:tcPr>
            <w:tcW w:w="1859" w:type="dxa"/>
            <w:vAlign w:val="center"/>
          </w:tcPr>
          <w:p w14:paraId="632A8A9B" w14:textId="4C8AFF57"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5 mg/Nm</w:t>
            </w:r>
            <w:r w:rsidRPr="00017031">
              <w:rPr>
                <w:sz w:val="22"/>
                <w:szCs w:val="22"/>
                <w:vertAlign w:val="superscript"/>
              </w:rPr>
              <w:t>3</w:t>
            </w:r>
          </w:p>
        </w:tc>
        <w:tc>
          <w:tcPr>
            <w:tcW w:w="1339" w:type="dxa"/>
            <w:vAlign w:val="center"/>
          </w:tcPr>
          <w:p w14:paraId="1A42AB76" w14:textId="6D36E139" w:rsidR="00FB403E" w:rsidRPr="00017031" w:rsidRDefault="00FB403E" w:rsidP="00F9788C">
            <w:pPr>
              <w:autoSpaceDE w:val="0"/>
              <w:autoSpaceDN w:val="0"/>
              <w:adjustRightInd w:val="0"/>
              <w:spacing w:beforeLines="40" w:before="96" w:afterLines="40" w:after="96" w:line="240" w:lineRule="auto"/>
              <w:jc w:val="center"/>
            </w:pPr>
            <w:r>
              <w:t xml:space="preserve">20 </w:t>
            </w:r>
            <w:r w:rsidRPr="00044A18">
              <w:t>mg/Nm</w:t>
            </w:r>
            <w:r w:rsidRPr="00044A18">
              <w:rPr>
                <w:vertAlign w:val="superscript"/>
              </w:rPr>
              <w:t>3</w:t>
            </w:r>
          </w:p>
        </w:tc>
        <w:tc>
          <w:tcPr>
            <w:tcW w:w="1567" w:type="dxa"/>
            <w:vAlign w:val="center"/>
          </w:tcPr>
          <w:p w14:paraId="0C1F1BF0" w14:textId="43B8F52C" w:rsidR="00FB403E" w:rsidRPr="00017031" w:rsidRDefault="00FB403E" w:rsidP="00F9788C">
            <w:pPr>
              <w:autoSpaceDE w:val="0"/>
              <w:autoSpaceDN w:val="0"/>
              <w:adjustRightInd w:val="0"/>
              <w:spacing w:beforeLines="40" w:before="96" w:afterLines="40" w:after="96" w:line="240" w:lineRule="auto"/>
              <w:jc w:val="center"/>
            </w:pPr>
            <w:r>
              <w:t xml:space="preserve">10 </w:t>
            </w:r>
            <w:r w:rsidRPr="00044A18">
              <w:t>mg/Nm</w:t>
            </w:r>
            <w:r w:rsidRPr="00044A18">
              <w:rPr>
                <w:vertAlign w:val="superscript"/>
              </w:rPr>
              <w:t>3</w:t>
            </w:r>
          </w:p>
        </w:tc>
      </w:tr>
      <w:tr w:rsidR="00FB403E" w:rsidRPr="00017031" w14:paraId="34E4F70C" w14:textId="207F72FF" w:rsidTr="003A3CB4">
        <w:tc>
          <w:tcPr>
            <w:tcW w:w="597" w:type="dxa"/>
            <w:vAlign w:val="center"/>
          </w:tcPr>
          <w:p w14:paraId="0DB8B29C"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01A8B037"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Chlorowodór - HCl</w:t>
            </w:r>
          </w:p>
        </w:tc>
        <w:tc>
          <w:tcPr>
            <w:tcW w:w="1859" w:type="dxa"/>
            <w:vAlign w:val="center"/>
          </w:tcPr>
          <w:p w14:paraId="3F7CE188" w14:textId="77777777"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5 mg/Nm</w:t>
            </w:r>
            <w:r w:rsidRPr="00017031">
              <w:rPr>
                <w:sz w:val="22"/>
                <w:szCs w:val="22"/>
                <w:vertAlign w:val="superscript"/>
              </w:rPr>
              <w:t>3</w:t>
            </w:r>
          </w:p>
        </w:tc>
        <w:tc>
          <w:tcPr>
            <w:tcW w:w="1339" w:type="dxa"/>
            <w:vAlign w:val="center"/>
          </w:tcPr>
          <w:p w14:paraId="6706F372" w14:textId="59410D22" w:rsidR="00FB403E" w:rsidRPr="00017031" w:rsidRDefault="00FB403E" w:rsidP="00F9788C">
            <w:pPr>
              <w:autoSpaceDE w:val="0"/>
              <w:autoSpaceDN w:val="0"/>
              <w:adjustRightInd w:val="0"/>
              <w:spacing w:beforeLines="40" w:before="96" w:afterLines="40" w:after="96" w:line="240" w:lineRule="auto"/>
              <w:jc w:val="center"/>
            </w:pPr>
            <w:r>
              <w:t xml:space="preserve">60 </w:t>
            </w:r>
            <w:r w:rsidRPr="00044A18">
              <w:t>mg/Nm</w:t>
            </w:r>
            <w:r w:rsidRPr="00044A18">
              <w:rPr>
                <w:vertAlign w:val="superscript"/>
              </w:rPr>
              <w:t>3</w:t>
            </w:r>
          </w:p>
        </w:tc>
        <w:tc>
          <w:tcPr>
            <w:tcW w:w="1567" w:type="dxa"/>
            <w:vAlign w:val="center"/>
          </w:tcPr>
          <w:p w14:paraId="546B6BF0" w14:textId="685F4667" w:rsidR="00FB403E" w:rsidRPr="00017031" w:rsidRDefault="00FB403E" w:rsidP="00F9788C">
            <w:pPr>
              <w:autoSpaceDE w:val="0"/>
              <w:autoSpaceDN w:val="0"/>
              <w:adjustRightInd w:val="0"/>
              <w:spacing w:beforeLines="40" w:before="96" w:afterLines="40" w:after="96" w:line="240" w:lineRule="auto"/>
              <w:jc w:val="center"/>
            </w:pPr>
            <w:r>
              <w:t xml:space="preserve">10 </w:t>
            </w:r>
            <w:r w:rsidRPr="00044A18">
              <w:t>mg/Nm</w:t>
            </w:r>
            <w:r w:rsidRPr="00044A18">
              <w:rPr>
                <w:vertAlign w:val="superscript"/>
              </w:rPr>
              <w:t>3</w:t>
            </w:r>
          </w:p>
        </w:tc>
      </w:tr>
      <w:tr w:rsidR="00FB403E" w:rsidRPr="00017031" w14:paraId="0D12CC54" w14:textId="3818C515" w:rsidTr="003A3CB4">
        <w:tc>
          <w:tcPr>
            <w:tcW w:w="597" w:type="dxa"/>
            <w:vAlign w:val="center"/>
          </w:tcPr>
          <w:p w14:paraId="4EE66817"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7834274C"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Fluorowodór - HF</w:t>
            </w:r>
          </w:p>
        </w:tc>
        <w:tc>
          <w:tcPr>
            <w:tcW w:w="1859" w:type="dxa"/>
            <w:vAlign w:val="center"/>
          </w:tcPr>
          <w:p w14:paraId="03D492DD" w14:textId="77777777"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0,5 mg/Nm</w:t>
            </w:r>
            <w:r w:rsidRPr="00017031">
              <w:rPr>
                <w:sz w:val="22"/>
                <w:szCs w:val="22"/>
                <w:vertAlign w:val="superscript"/>
              </w:rPr>
              <w:t>3</w:t>
            </w:r>
          </w:p>
        </w:tc>
        <w:tc>
          <w:tcPr>
            <w:tcW w:w="1339" w:type="dxa"/>
            <w:vAlign w:val="center"/>
          </w:tcPr>
          <w:p w14:paraId="39ED260B" w14:textId="2C3BDECE" w:rsidR="00FB403E" w:rsidRPr="00017031" w:rsidRDefault="00FB403E" w:rsidP="00F9788C">
            <w:pPr>
              <w:autoSpaceDE w:val="0"/>
              <w:autoSpaceDN w:val="0"/>
              <w:adjustRightInd w:val="0"/>
              <w:spacing w:beforeLines="40" w:before="96" w:afterLines="40" w:after="96" w:line="240" w:lineRule="auto"/>
              <w:jc w:val="center"/>
            </w:pPr>
            <w:r>
              <w:t xml:space="preserve">4 </w:t>
            </w:r>
            <w:r w:rsidRPr="00044A18">
              <w:t>mg/Nm</w:t>
            </w:r>
            <w:r w:rsidRPr="00044A18">
              <w:rPr>
                <w:vertAlign w:val="superscript"/>
              </w:rPr>
              <w:t>3</w:t>
            </w:r>
          </w:p>
        </w:tc>
        <w:tc>
          <w:tcPr>
            <w:tcW w:w="1567" w:type="dxa"/>
            <w:vAlign w:val="center"/>
          </w:tcPr>
          <w:p w14:paraId="294D89E0" w14:textId="02719BE0" w:rsidR="00FB403E" w:rsidRPr="00017031" w:rsidRDefault="00FB403E" w:rsidP="00F9788C">
            <w:pPr>
              <w:autoSpaceDE w:val="0"/>
              <w:autoSpaceDN w:val="0"/>
              <w:adjustRightInd w:val="0"/>
              <w:spacing w:beforeLines="40" w:before="96" w:afterLines="40" w:after="96" w:line="240" w:lineRule="auto"/>
              <w:jc w:val="center"/>
            </w:pPr>
            <w:r>
              <w:t xml:space="preserve">2 </w:t>
            </w:r>
            <w:r w:rsidRPr="00044A18">
              <w:t>mg/Nm</w:t>
            </w:r>
            <w:r w:rsidRPr="00044A18">
              <w:rPr>
                <w:vertAlign w:val="superscript"/>
              </w:rPr>
              <w:t>3</w:t>
            </w:r>
          </w:p>
        </w:tc>
      </w:tr>
      <w:tr w:rsidR="00FB403E" w:rsidRPr="00017031" w14:paraId="2F97DFE3" w14:textId="1EAF28A6" w:rsidTr="003A3CB4">
        <w:tc>
          <w:tcPr>
            <w:tcW w:w="597" w:type="dxa"/>
            <w:vAlign w:val="center"/>
          </w:tcPr>
          <w:p w14:paraId="25357428"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0EB5DA82"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Dwutlenek siarki – SO2</w:t>
            </w:r>
          </w:p>
        </w:tc>
        <w:tc>
          <w:tcPr>
            <w:tcW w:w="1859" w:type="dxa"/>
            <w:vAlign w:val="center"/>
          </w:tcPr>
          <w:p w14:paraId="718C54A3" w14:textId="77777777"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25 mg/Nm</w:t>
            </w:r>
            <w:r w:rsidRPr="00017031">
              <w:rPr>
                <w:sz w:val="22"/>
                <w:szCs w:val="22"/>
                <w:vertAlign w:val="superscript"/>
              </w:rPr>
              <w:t>3</w:t>
            </w:r>
          </w:p>
        </w:tc>
        <w:tc>
          <w:tcPr>
            <w:tcW w:w="1339" w:type="dxa"/>
            <w:vAlign w:val="center"/>
          </w:tcPr>
          <w:p w14:paraId="00639E3B" w14:textId="48822632" w:rsidR="00FB403E" w:rsidRPr="00017031" w:rsidRDefault="00FB403E" w:rsidP="00F9788C">
            <w:pPr>
              <w:autoSpaceDE w:val="0"/>
              <w:autoSpaceDN w:val="0"/>
              <w:adjustRightInd w:val="0"/>
              <w:spacing w:beforeLines="40" w:before="96" w:afterLines="40" w:after="96" w:line="240" w:lineRule="auto"/>
              <w:jc w:val="center"/>
            </w:pPr>
            <w:r>
              <w:t xml:space="preserve">200 </w:t>
            </w:r>
            <w:r w:rsidRPr="00044A18">
              <w:t>mg/Nm</w:t>
            </w:r>
            <w:r w:rsidRPr="00044A18">
              <w:rPr>
                <w:vertAlign w:val="superscript"/>
              </w:rPr>
              <w:t>3</w:t>
            </w:r>
          </w:p>
        </w:tc>
        <w:tc>
          <w:tcPr>
            <w:tcW w:w="1567" w:type="dxa"/>
            <w:vAlign w:val="center"/>
          </w:tcPr>
          <w:p w14:paraId="40B72CB7" w14:textId="57BE4381" w:rsidR="00FB403E" w:rsidRPr="00017031" w:rsidRDefault="00FB403E" w:rsidP="00F9788C">
            <w:pPr>
              <w:autoSpaceDE w:val="0"/>
              <w:autoSpaceDN w:val="0"/>
              <w:adjustRightInd w:val="0"/>
              <w:spacing w:beforeLines="40" w:before="96" w:afterLines="40" w:after="96" w:line="240" w:lineRule="auto"/>
              <w:jc w:val="center"/>
            </w:pPr>
            <w:r>
              <w:t xml:space="preserve">50 </w:t>
            </w:r>
            <w:r w:rsidRPr="00044A18">
              <w:t>mg/Nm</w:t>
            </w:r>
            <w:r w:rsidRPr="00044A18">
              <w:rPr>
                <w:vertAlign w:val="superscript"/>
              </w:rPr>
              <w:t>3</w:t>
            </w:r>
          </w:p>
        </w:tc>
      </w:tr>
      <w:tr w:rsidR="00FB403E" w:rsidRPr="00017031" w14:paraId="7CA9E7E8" w14:textId="4E3B3C1A" w:rsidTr="003A3CB4">
        <w:tc>
          <w:tcPr>
            <w:tcW w:w="597" w:type="dxa"/>
            <w:vAlign w:val="center"/>
          </w:tcPr>
          <w:p w14:paraId="7074C5E1" w14:textId="77777777" w:rsidR="00FB403E" w:rsidRPr="00017031" w:rsidRDefault="00FB403E" w:rsidP="00F9788C">
            <w:pPr>
              <w:pStyle w:val="Akapitzlist"/>
              <w:widowControl w:val="0"/>
              <w:numPr>
                <w:ilvl w:val="0"/>
                <w:numId w:val="1"/>
              </w:numPr>
              <w:autoSpaceDE w:val="0"/>
              <w:autoSpaceDN w:val="0"/>
              <w:adjustRightInd w:val="0"/>
              <w:spacing w:before="40" w:after="40" w:line="240" w:lineRule="auto"/>
            </w:pPr>
          </w:p>
        </w:tc>
        <w:tc>
          <w:tcPr>
            <w:tcW w:w="3705" w:type="dxa"/>
            <w:vAlign w:val="center"/>
          </w:tcPr>
          <w:p w14:paraId="4AD82E57"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Tlenek węgla CO</w:t>
            </w:r>
          </w:p>
        </w:tc>
        <w:tc>
          <w:tcPr>
            <w:tcW w:w="1859" w:type="dxa"/>
            <w:vAlign w:val="center"/>
          </w:tcPr>
          <w:p w14:paraId="6276A522" w14:textId="50AD4A2D" w:rsidR="00FB403E" w:rsidRPr="00017031" w:rsidRDefault="00FB403E" w:rsidP="00F9788C">
            <w:pPr>
              <w:autoSpaceDE w:val="0"/>
              <w:autoSpaceDN w:val="0"/>
              <w:adjustRightInd w:val="0"/>
              <w:spacing w:beforeLines="40" w:before="96" w:afterLines="40" w:after="96" w:line="240" w:lineRule="auto"/>
              <w:jc w:val="center"/>
              <w:rPr>
                <w:sz w:val="22"/>
                <w:szCs w:val="22"/>
              </w:rPr>
            </w:pPr>
            <w:r w:rsidRPr="00017031">
              <w:rPr>
                <w:sz w:val="22"/>
                <w:szCs w:val="22"/>
              </w:rPr>
              <w:t xml:space="preserve">≤ </w:t>
            </w:r>
            <w:r w:rsidR="003A3CB4">
              <w:rPr>
                <w:sz w:val="22"/>
                <w:szCs w:val="22"/>
              </w:rPr>
              <w:t>50</w:t>
            </w:r>
            <w:r w:rsidRPr="00017031">
              <w:rPr>
                <w:sz w:val="22"/>
                <w:szCs w:val="22"/>
              </w:rPr>
              <w:t xml:space="preserve"> mg/Nm</w:t>
            </w:r>
            <w:r w:rsidRPr="00017031">
              <w:rPr>
                <w:sz w:val="22"/>
                <w:szCs w:val="22"/>
                <w:vertAlign w:val="superscript"/>
              </w:rPr>
              <w:t>3</w:t>
            </w:r>
          </w:p>
        </w:tc>
        <w:tc>
          <w:tcPr>
            <w:tcW w:w="1339" w:type="dxa"/>
            <w:vAlign w:val="center"/>
          </w:tcPr>
          <w:p w14:paraId="5D708DF1" w14:textId="6DA59A15" w:rsidR="00FB403E" w:rsidRPr="00017031" w:rsidRDefault="00FB403E" w:rsidP="00F9788C">
            <w:pPr>
              <w:autoSpaceDE w:val="0"/>
              <w:autoSpaceDN w:val="0"/>
              <w:adjustRightInd w:val="0"/>
              <w:spacing w:beforeLines="40" w:before="96" w:afterLines="40" w:after="96" w:line="240" w:lineRule="auto"/>
              <w:jc w:val="center"/>
            </w:pPr>
            <w:r>
              <w:t xml:space="preserve">100 </w:t>
            </w:r>
            <w:r w:rsidRPr="00044A18">
              <w:t>mg/Nm</w:t>
            </w:r>
            <w:r w:rsidRPr="00044A18">
              <w:rPr>
                <w:vertAlign w:val="superscript"/>
              </w:rPr>
              <w:t>3</w:t>
            </w:r>
          </w:p>
        </w:tc>
        <w:tc>
          <w:tcPr>
            <w:tcW w:w="1567" w:type="dxa"/>
            <w:vAlign w:val="center"/>
          </w:tcPr>
          <w:p w14:paraId="1143A5F7" w14:textId="1018E142" w:rsidR="00FB403E" w:rsidRDefault="00FB403E" w:rsidP="00F9788C">
            <w:pPr>
              <w:autoSpaceDE w:val="0"/>
              <w:autoSpaceDN w:val="0"/>
              <w:adjustRightInd w:val="0"/>
              <w:spacing w:beforeLines="40" w:before="96" w:afterLines="40" w:after="96" w:line="240" w:lineRule="auto"/>
              <w:jc w:val="center"/>
            </w:pPr>
            <w:r>
              <w:t xml:space="preserve">150 </w:t>
            </w:r>
            <w:r w:rsidRPr="00044A18">
              <w:t>mg/Nm</w:t>
            </w:r>
            <w:r w:rsidRPr="00044A18">
              <w:rPr>
                <w:vertAlign w:val="superscript"/>
              </w:rPr>
              <w:t>3</w:t>
            </w:r>
          </w:p>
          <w:p w14:paraId="517D8032" w14:textId="4D55CD48" w:rsidR="00FB403E" w:rsidRPr="00F9788C" w:rsidRDefault="00FB403E" w:rsidP="00F9788C">
            <w:pPr>
              <w:autoSpaceDE w:val="0"/>
              <w:autoSpaceDN w:val="0"/>
              <w:adjustRightInd w:val="0"/>
              <w:spacing w:beforeLines="40" w:before="96" w:afterLines="40" w:after="96" w:line="240" w:lineRule="auto"/>
              <w:jc w:val="center"/>
              <w:rPr>
                <w:sz w:val="15"/>
                <w:szCs w:val="15"/>
              </w:rPr>
            </w:pPr>
            <w:r w:rsidRPr="00F9788C">
              <w:rPr>
                <w:sz w:val="15"/>
                <w:szCs w:val="15"/>
              </w:rPr>
              <w:t xml:space="preserve">(wartość średnia </w:t>
            </w:r>
            <w:r w:rsidR="00F9788C" w:rsidRPr="00F9788C">
              <w:rPr>
                <w:sz w:val="15"/>
                <w:szCs w:val="15"/>
              </w:rPr>
              <w:t>dziesięcio</w:t>
            </w:r>
            <w:r w:rsidRPr="00F9788C">
              <w:rPr>
                <w:sz w:val="15"/>
                <w:szCs w:val="15"/>
              </w:rPr>
              <w:t>minutowa)</w:t>
            </w:r>
          </w:p>
        </w:tc>
      </w:tr>
      <w:tr w:rsidR="00FB403E" w:rsidRPr="00017031" w14:paraId="33BDC07D" w14:textId="56ABD455" w:rsidTr="003A3CB4">
        <w:tc>
          <w:tcPr>
            <w:tcW w:w="597" w:type="dxa"/>
            <w:vAlign w:val="center"/>
          </w:tcPr>
          <w:p w14:paraId="1D32B854"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3DD62A89"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 xml:space="preserve">Tlenki azotu </w:t>
            </w:r>
            <w:proofErr w:type="spellStart"/>
            <w:r w:rsidRPr="00017031">
              <w:rPr>
                <w:sz w:val="22"/>
                <w:szCs w:val="22"/>
              </w:rPr>
              <w:t>NOx</w:t>
            </w:r>
            <w:proofErr w:type="spellEnd"/>
          </w:p>
        </w:tc>
        <w:tc>
          <w:tcPr>
            <w:tcW w:w="1859" w:type="dxa"/>
            <w:vAlign w:val="center"/>
          </w:tcPr>
          <w:p w14:paraId="5C2A9033" w14:textId="0B729A27" w:rsidR="00FB403E" w:rsidRPr="00F9788C" w:rsidRDefault="00FB403E" w:rsidP="00F9788C">
            <w:pPr>
              <w:spacing w:beforeLines="40" w:before="96" w:afterLines="40" w:after="96" w:line="240" w:lineRule="auto"/>
              <w:jc w:val="center"/>
              <w:rPr>
                <w:sz w:val="16"/>
                <w:szCs w:val="16"/>
              </w:rPr>
            </w:pPr>
            <w:r w:rsidRPr="00F9788C">
              <w:rPr>
                <w:sz w:val="16"/>
                <w:szCs w:val="16"/>
              </w:rPr>
              <w:t>NO+ NO2 jako NO2</w:t>
            </w:r>
          </w:p>
          <w:p w14:paraId="46332921" w14:textId="4CFBBFE3" w:rsidR="00FB403E" w:rsidRPr="00F9788C" w:rsidRDefault="00FB403E" w:rsidP="00F9788C">
            <w:pPr>
              <w:autoSpaceDE w:val="0"/>
              <w:autoSpaceDN w:val="0"/>
              <w:adjustRightInd w:val="0"/>
              <w:spacing w:beforeLines="40" w:before="96" w:afterLines="40" w:after="96" w:line="240" w:lineRule="auto"/>
              <w:jc w:val="center"/>
              <w:rPr>
                <w:sz w:val="22"/>
                <w:szCs w:val="22"/>
                <w:vertAlign w:val="superscript"/>
              </w:rPr>
            </w:pPr>
            <w:r w:rsidRPr="00017031">
              <w:rPr>
                <w:sz w:val="22"/>
                <w:szCs w:val="22"/>
              </w:rPr>
              <w:t>≤ 1</w:t>
            </w:r>
            <w:r>
              <w:rPr>
                <w:sz w:val="22"/>
                <w:szCs w:val="22"/>
              </w:rPr>
              <w:t>2</w:t>
            </w:r>
            <w:r w:rsidRPr="00017031">
              <w:rPr>
                <w:sz w:val="22"/>
                <w:szCs w:val="22"/>
              </w:rPr>
              <w:t>0 mg/Nm</w:t>
            </w:r>
            <w:r w:rsidRPr="00017031">
              <w:rPr>
                <w:sz w:val="22"/>
                <w:szCs w:val="22"/>
                <w:vertAlign w:val="superscript"/>
              </w:rPr>
              <w:t>3</w:t>
            </w:r>
          </w:p>
        </w:tc>
        <w:tc>
          <w:tcPr>
            <w:tcW w:w="1339" w:type="dxa"/>
            <w:vAlign w:val="center"/>
          </w:tcPr>
          <w:p w14:paraId="6AB60E96" w14:textId="11786FA2" w:rsidR="00FB403E" w:rsidRPr="00017031" w:rsidRDefault="00FA00FC" w:rsidP="00F9788C">
            <w:pPr>
              <w:spacing w:beforeLines="40" w:before="96" w:afterLines="40" w:after="96" w:line="240" w:lineRule="auto"/>
              <w:jc w:val="center"/>
            </w:pPr>
            <w:r>
              <w:t>4</w:t>
            </w:r>
            <w:r w:rsidR="00FB403E">
              <w:t xml:space="preserve">00 </w:t>
            </w:r>
            <w:r w:rsidR="00FB403E" w:rsidRPr="00044A18">
              <w:t>mg/Nm</w:t>
            </w:r>
            <w:r w:rsidR="00FB403E" w:rsidRPr="00044A18">
              <w:rPr>
                <w:vertAlign w:val="superscript"/>
              </w:rPr>
              <w:t>3</w:t>
            </w:r>
          </w:p>
        </w:tc>
        <w:tc>
          <w:tcPr>
            <w:tcW w:w="1567" w:type="dxa"/>
            <w:vAlign w:val="center"/>
          </w:tcPr>
          <w:p w14:paraId="18FD9660" w14:textId="25864A44" w:rsidR="00FB403E" w:rsidRPr="00017031" w:rsidRDefault="00FA00FC" w:rsidP="00F9788C">
            <w:pPr>
              <w:autoSpaceDE w:val="0"/>
              <w:autoSpaceDN w:val="0"/>
              <w:adjustRightInd w:val="0"/>
              <w:spacing w:beforeLines="40" w:before="96" w:afterLines="40" w:after="96" w:line="240" w:lineRule="auto"/>
              <w:jc w:val="center"/>
            </w:pPr>
            <w:r>
              <w:t>20</w:t>
            </w:r>
            <w:r w:rsidR="00FB403E">
              <w:t xml:space="preserve">0 </w:t>
            </w:r>
            <w:r w:rsidR="00FB403E" w:rsidRPr="00044A18">
              <w:t>mg/Nm</w:t>
            </w:r>
            <w:r w:rsidR="00FB403E" w:rsidRPr="00044A18">
              <w:rPr>
                <w:vertAlign w:val="superscript"/>
              </w:rPr>
              <w:t>3</w:t>
            </w:r>
          </w:p>
        </w:tc>
      </w:tr>
      <w:tr w:rsidR="00FA00FC" w:rsidRPr="00017031" w14:paraId="2438AFAC" w14:textId="77777777" w:rsidTr="003A3CB4">
        <w:tc>
          <w:tcPr>
            <w:tcW w:w="597" w:type="dxa"/>
            <w:vAlign w:val="center"/>
          </w:tcPr>
          <w:p w14:paraId="7A6E786E" w14:textId="77777777" w:rsidR="00FA00FC" w:rsidRPr="00017031" w:rsidRDefault="00FA00FC" w:rsidP="00F9788C">
            <w:pPr>
              <w:pStyle w:val="Akapitzlist"/>
              <w:numPr>
                <w:ilvl w:val="0"/>
                <w:numId w:val="1"/>
              </w:numPr>
              <w:autoSpaceDE w:val="0"/>
              <w:autoSpaceDN w:val="0"/>
              <w:adjustRightInd w:val="0"/>
              <w:spacing w:before="40" w:after="40" w:line="240" w:lineRule="auto"/>
              <w:jc w:val="left"/>
            </w:pPr>
          </w:p>
        </w:tc>
        <w:tc>
          <w:tcPr>
            <w:tcW w:w="3705" w:type="dxa"/>
            <w:vAlign w:val="center"/>
          </w:tcPr>
          <w:p w14:paraId="7B0F1B6E" w14:textId="2B40D6DA" w:rsidR="00FA00FC" w:rsidRPr="00017031" w:rsidRDefault="00FA00FC" w:rsidP="00F9788C">
            <w:pPr>
              <w:autoSpaceDE w:val="0"/>
              <w:autoSpaceDN w:val="0"/>
              <w:adjustRightInd w:val="0"/>
              <w:spacing w:before="40" w:after="40" w:line="240" w:lineRule="auto"/>
              <w:jc w:val="left"/>
            </w:pPr>
            <w:r w:rsidRPr="00017031">
              <w:rPr>
                <w:sz w:val="22"/>
                <w:szCs w:val="22"/>
              </w:rPr>
              <w:t>Amoniak</w:t>
            </w:r>
          </w:p>
        </w:tc>
        <w:tc>
          <w:tcPr>
            <w:tcW w:w="1859" w:type="dxa"/>
            <w:vAlign w:val="center"/>
          </w:tcPr>
          <w:p w14:paraId="0D9C3463" w14:textId="5732E637" w:rsidR="00FA00FC" w:rsidRPr="00017031" w:rsidRDefault="00FA00FC" w:rsidP="00F9788C">
            <w:pPr>
              <w:spacing w:beforeLines="40" w:before="96" w:afterLines="40" w:after="96" w:line="240" w:lineRule="auto"/>
              <w:jc w:val="center"/>
            </w:pPr>
            <w:r w:rsidRPr="00017031">
              <w:rPr>
                <w:sz w:val="22"/>
                <w:szCs w:val="22"/>
              </w:rPr>
              <w:t>≤ 9</w:t>
            </w:r>
            <w:r w:rsidR="003A4273">
              <w:rPr>
                <w:sz w:val="22"/>
                <w:szCs w:val="22"/>
              </w:rPr>
              <w:t xml:space="preserve"> </w:t>
            </w:r>
            <w:r w:rsidR="003A4273" w:rsidRPr="003A4273">
              <w:rPr>
                <w:sz w:val="22"/>
                <w:szCs w:val="22"/>
              </w:rPr>
              <w:t>mg/Nm3</w:t>
            </w:r>
          </w:p>
        </w:tc>
        <w:tc>
          <w:tcPr>
            <w:tcW w:w="1339" w:type="dxa"/>
            <w:vAlign w:val="center"/>
          </w:tcPr>
          <w:p w14:paraId="3C928352" w14:textId="3B156E18" w:rsidR="00FA00FC" w:rsidRDefault="00FA00FC" w:rsidP="00F9788C">
            <w:pPr>
              <w:spacing w:beforeLines="40" w:before="96" w:afterLines="40" w:after="96" w:line="240" w:lineRule="auto"/>
              <w:jc w:val="center"/>
            </w:pPr>
            <w:r>
              <w:t>–</w:t>
            </w:r>
          </w:p>
        </w:tc>
        <w:tc>
          <w:tcPr>
            <w:tcW w:w="1567" w:type="dxa"/>
            <w:vAlign w:val="center"/>
          </w:tcPr>
          <w:p w14:paraId="5BC4B3F5" w14:textId="15763CD6" w:rsidR="00FA00FC" w:rsidRDefault="00FA00FC" w:rsidP="00F9788C">
            <w:pPr>
              <w:autoSpaceDE w:val="0"/>
              <w:autoSpaceDN w:val="0"/>
              <w:adjustRightInd w:val="0"/>
              <w:spacing w:beforeLines="40" w:before="96" w:afterLines="40" w:after="96" w:line="240" w:lineRule="auto"/>
              <w:jc w:val="center"/>
            </w:pPr>
            <w:r>
              <w:t>–</w:t>
            </w:r>
          </w:p>
        </w:tc>
      </w:tr>
      <w:tr w:rsidR="00FB403E" w:rsidRPr="00017031" w14:paraId="4895CBC1" w14:textId="5A5ED56F" w:rsidTr="00FA00FC">
        <w:trPr>
          <w:trHeight w:val="418"/>
        </w:trPr>
        <w:tc>
          <w:tcPr>
            <w:tcW w:w="9067" w:type="dxa"/>
            <w:gridSpan w:val="5"/>
            <w:vAlign w:val="center"/>
          </w:tcPr>
          <w:p w14:paraId="032EDB85" w14:textId="77777777" w:rsidR="00FB403E" w:rsidRPr="00017031" w:rsidRDefault="00FB403E" w:rsidP="00F9788C">
            <w:pPr>
              <w:autoSpaceDE w:val="0"/>
              <w:autoSpaceDN w:val="0"/>
              <w:adjustRightInd w:val="0"/>
              <w:spacing w:beforeLines="40" w:before="96" w:afterLines="40" w:after="96" w:line="240" w:lineRule="auto"/>
              <w:jc w:val="left"/>
            </w:pPr>
          </w:p>
        </w:tc>
      </w:tr>
      <w:tr w:rsidR="00FB403E" w:rsidRPr="00017031" w14:paraId="024ACD90" w14:textId="37A828C7" w:rsidTr="003A3CB4">
        <w:tc>
          <w:tcPr>
            <w:tcW w:w="597" w:type="dxa"/>
            <w:vAlign w:val="center"/>
          </w:tcPr>
          <w:p w14:paraId="35B68F71"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37A9C435"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Metale ciężkie i ich związki wyrażone jako metal:</w:t>
            </w:r>
          </w:p>
        </w:tc>
        <w:tc>
          <w:tcPr>
            <w:tcW w:w="4765" w:type="dxa"/>
            <w:gridSpan w:val="3"/>
            <w:vAlign w:val="center"/>
          </w:tcPr>
          <w:p w14:paraId="49311B42" w14:textId="0FE601DD" w:rsidR="00FB403E" w:rsidRPr="008C6260" w:rsidRDefault="00FB403E" w:rsidP="00F9788C">
            <w:pPr>
              <w:autoSpaceDE w:val="0"/>
              <w:autoSpaceDN w:val="0"/>
              <w:adjustRightInd w:val="0"/>
              <w:spacing w:beforeLines="40" w:before="96" w:afterLines="40" w:after="96" w:line="240" w:lineRule="auto"/>
              <w:jc w:val="left"/>
              <w:rPr>
                <w:sz w:val="22"/>
                <w:szCs w:val="22"/>
              </w:rPr>
            </w:pPr>
            <w:r w:rsidRPr="00017031">
              <w:rPr>
                <w:sz w:val="22"/>
                <w:szCs w:val="22"/>
              </w:rPr>
              <w:t>Średnie z próby o czasie trwania od 30 minut do 8 godzin</w:t>
            </w:r>
          </w:p>
        </w:tc>
      </w:tr>
      <w:tr w:rsidR="00FB403E" w:rsidRPr="00017031" w14:paraId="511609E3" w14:textId="7BEF8FF6" w:rsidTr="003A3CB4">
        <w:tc>
          <w:tcPr>
            <w:tcW w:w="597" w:type="dxa"/>
            <w:vAlign w:val="center"/>
          </w:tcPr>
          <w:p w14:paraId="0ABCD1CD"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08C959B4"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Kadm + Tal</w:t>
            </w:r>
          </w:p>
        </w:tc>
        <w:tc>
          <w:tcPr>
            <w:tcW w:w="4765" w:type="dxa"/>
            <w:gridSpan w:val="3"/>
            <w:vAlign w:val="center"/>
          </w:tcPr>
          <w:p w14:paraId="3072BA2B" w14:textId="249B2945" w:rsidR="00FB403E" w:rsidRPr="00017031" w:rsidRDefault="00FB403E" w:rsidP="00F9788C">
            <w:pPr>
              <w:autoSpaceDE w:val="0"/>
              <w:autoSpaceDN w:val="0"/>
              <w:adjustRightInd w:val="0"/>
              <w:spacing w:beforeLines="40" w:before="96" w:afterLines="40" w:after="96" w:line="240" w:lineRule="auto"/>
              <w:jc w:val="left"/>
            </w:pPr>
            <w:r w:rsidRPr="00017031">
              <w:rPr>
                <w:sz w:val="22"/>
                <w:szCs w:val="22"/>
              </w:rPr>
              <w:t xml:space="preserve"> ≤ 0,018</w:t>
            </w:r>
            <w:r w:rsidR="008C6260">
              <w:rPr>
                <w:sz w:val="22"/>
                <w:szCs w:val="22"/>
              </w:rPr>
              <w:t xml:space="preserve"> m</w:t>
            </w:r>
            <w:r w:rsidR="008C6260" w:rsidRPr="00017031">
              <w:rPr>
                <w:sz w:val="22"/>
                <w:szCs w:val="22"/>
              </w:rPr>
              <w:t>g/Nm</w:t>
            </w:r>
            <w:r w:rsidR="008C6260" w:rsidRPr="008C6260">
              <w:rPr>
                <w:sz w:val="22"/>
                <w:szCs w:val="22"/>
                <w:vertAlign w:val="superscript"/>
              </w:rPr>
              <w:t>3</w:t>
            </w:r>
          </w:p>
        </w:tc>
      </w:tr>
      <w:tr w:rsidR="00FB403E" w:rsidRPr="00017031" w14:paraId="42CFA776" w14:textId="3C5CC961" w:rsidTr="003A3CB4">
        <w:tc>
          <w:tcPr>
            <w:tcW w:w="597" w:type="dxa"/>
            <w:vAlign w:val="center"/>
          </w:tcPr>
          <w:p w14:paraId="55862194"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15C31BFC"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Rtęć</w:t>
            </w:r>
          </w:p>
        </w:tc>
        <w:tc>
          <w:tcPr>
            <w:tcW w:w="4765" w:type="dxa"/>
            <w:gridSpan w:val="3"/>
            <w:vAlign w:val="center"/>
          </w:tcPr>
          <w:p w14:paraId="4EA66C33" w14:textId="43AF2FA8" w:rsidR="00FB403E" w:rsidRPr="00017031" w:rsidRDefault="00FB403E" w:rsidP="00F9788C">
            <w:pPr>
              <w:autoSpaceDE w:val="0"/>
              <w:autoSpaceDN w:val="0"/>
              <w:adjustRightInd w:val="0"/>
              <w:spacing w:beforeLines="40" w:before="96" w:afterLines="40" w:after="96" w:line="240" w:lineRule="auto"/>
              <w:jc w:val="left"/>
            </w:pPr>
            <w:r w:rsidRPr="00017031">
              <w:rPr>
                <w:sz w:val="22"/>
                <w:szCs w:val="22"/>
              </w:rPr>
              <w:t xml:space="preserve"> ≤ 0,02</w:t>
            </w:r>
            <w:r w:rsidR="008C6260">
              <w:rPr>
                <w:sz w:val="22"/>
                <w:szCs w:val="22"/>
              </w:rPr>
              <w:t xml:space="preserve"> m</w:t>
            </w:r>
            <w:r w:rsidR="008C6260" w:rsidRPr="00017031">
              <w:rPr>
                <w:sz w:val="22"/>
                <w:szCs w:val="22"/>
              </w:rPr>
              <w:t>g/Nm</w:t>
            </w:r>
            <w:r w:rsidR="008C6260" w:rsidRPr="008C6260">
              <w:rPr>
                <w:sz w:val="22"/>
                <w:szCs w:val="22"/>
                <w:vertAlign w:val="superscript"/>
              </w:rPr>
              <w:t>3</w:t>
            </w:r>
          </w:p>
        </w:tc>
      </w:tr>
      <w:tr w:rsidR="00FB403E" w:rsidRPr="00017031" w14:paraId="2CB9EBC7" w14:textId="6191B1D3" w:rsidTr="003A3CB4">
        <w:tc>
          <w:tcPr>
            <w:tcW w:w="597" w:type="dxa"/>
            <w:vAlign w:val="center"/>
          </w:tcPr>
          <w:p w14:paraId="335829F7"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584EC93D" w14:textId="77777777" w:rsidR="00FB403E" w:rsidRPr="00017031" w:rsidRDefault="00FB403E" w:rsidP="00F9788C">
            <w:pPr>
              <w:autoSpaceDE w:val="0"/>
              <w:autoSpaceDN w:val="0"/>
              <w:adjustRightInd w:val="0"/>
              <w:spacing w:before="40" w:after="40" w:line="240" w:lineRule="auto"/>
              <w:jc w:val="left"/>
              <w:rPr>
                <w:sz w:val="22"/>
                <w:szCs w:val="22"/>
              </w:rPr>
            </w:pPr>
            <w:proofErr w:type="spellStart"/>
            <w:r w:rsidRPr="00017031">
              <w:rPr>
                <w:sz w:val="22"/>
                <w:szCs w:val="22"/>
              </w:rPr>
              <w:t>Sb+As+Pb+Cr+Co+Cu+Mn+Ni+V</w:t>
            </w:r>
            <w:proofErr w:type="spellEnd"/>
          </w:p>
        </w:tc>
        <w:tc>
          <w:tcPr>
            <w:tcW w:w="4765" w:type="dxa"/>
            <w:gridSpan w:val="3"/>
            <w:vAlign w:val="center"/>
          </w:tcPr>
          <w:p w14:paraId="2D5FC891" w14:textId="254CF247" w:rsidR="00FB403E" w:rsidRPr="00017031" w:rsidRDefault="00FB403E" w:rsidP="00F9788C">
            <w:pPr>
              <w:autoSpaceDE w:val="0"/>
              <w:autoSpaceDN w:val="0"/>
              <w:adjustRightInd w:val="0"/>
              <w:spacing w:beforeLines="40" w:before="96" w:afterLines="40" w:after="96" w:line="240" w:lineRule="auto"/>
              <w:jc w:val="left"/>
            </w:pPr>
            <w:r w:rsidRPr="00017031">
              <w:rPr>
                <w:sz w:val="22"/>
                <w:szCs w:val="22"/>
              </w:rPr>
              <w:t xml:space="preserve"> ≤ 0,25</w:t>
            </w:r>
            <w:r w:rsidR="008C6260">
              <w:rPr>
                <w:sz w:val="22"/>
                <w:szCs w:val="22"/>
              </w:rPr>
              <w:t xml:space="preserve"> m</w:t>
            </w:r>
            <w:r w:rsidR="008C6260" w:rsidRPr="00017031">
              <w:rPr>
                <w:sz w:val="22"/>
                <w:szCs w:val="22"/>
              </w:rPr>
              <w:t>g/Nm</w:t>
            </w:r>
            <w:r w:rsidR="008C6260" w:rsidRPr="008C6260">
              <w:rPr>
                <w:sz w:val="22"/>
                <w:szCs w:val="22"/>
                <w:vertAlign w:val="superscript"/>
              </w:rPr>
              <w:t>3</w:t>
            </w:r>
          </w:p>
        </w:tc>
      </w:tr>
      <w:tr w:rsidR="00FB403E" w:rsidRPr="00017031" w14:paraId="01AB7642" w14:textId="4E9E1F24" w:rsidTr="00FA00FC">
        <w:trPr>
          <w:trHeight w:val="404"/>
        </w:trPr>
        <w:tc>
          <w:tcPr>
            <w:tcW w:w="9067" w:type="dxa"/>
            <w:gridSpan w:val="5"/>
            <w:vAlign w:val="center"/>
          </w:tcPr>
          <w:p w14:paraId="231D9853" w14:textId="77777777" w:rsidR="00FB403E" w:rsidRPr="00017031" w:rsidRDefault="00FB403E" w:rsidP="00F9788C">
            <w:pPr>
              <w:autoSpaceDE w:val="0"/>
              <w:autoSpaceDN w:val="0"/>
              <w:adjustRightInd w:val="0"/>
              <w:spacing w:beforeLines="40" w:before="96" w:afterLines="40" w:after="96" w:line="240" w:lineRule="auto"/>
              <w:jc w:val="left"/>
            </w:pPr>
          </w:p>
        </w:tc>
      </w:tr>
      <w:tr w:rsidR="00FB403E" w:rsidRPr="00017031" w14:paraId="2A625E08" w14:textId="41695F60" w:rsidTr="003A3CB4">
        <w:tc>
          <w:tcPr>
            <w:tcW w:w="597" w:type="dxa"/>
            <w:vAlign w:val="center"/>
          </w:tcPr>
          <w:p w14:paraId="29E4669E"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3A418E6C"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Dioksyny i furany (PCDD/F)</w:t>
            </w:r>
          </w:p>
        </w:tc>
        <w:tc>
          <w:tcPr>
            <w:tcW w:w="4765" w:type="dxa"/>
            <w:gridSpan w:val="3"/>
            <w:vAlign w:val="center"/>
          </w:tcPr>
          <w:p w14:paraId="7716CB18" w14:textId="027CF6C2" w:rsidR="00FB403E" w:rsidRPr="00017031" w:rsidRDefault="00FB403E" w:rsidP="00F9788C">
            <w:pPr>
              <w:autoSpaceDE w:val="0"/>
              <w:autoSpaceDN w:val="0"/>
              <w:adjustRightInd w:val="0"/>
              <w:spacing w:beforeLines="40" w:before="96" w:afterLines="40" w:after="96" w:line="240" w:lineRule="auto"/>
              <w:jc w:val="left"/>
              <w:rPr>
                <w:sz w:val="22"/>
                <w:szCs w:val="22"/>
              </w:rPr>
            </w:pPr>
            <w:r w:rsidRPr="00017031">
              <w:rPr>
                <w:sz w:val="22"/>
                <w:szCs w:val="22"/>
              </w:rPr>
              <w:t xml:space="preserve"> ≤ 0,036</w:t>
            </w:r>
            <w:r w:rsidR="008C6260">
              <w:rPr>
                <w:sz w:val="22"/>
                <w:szCs w:val="22"/>
              </w:rPr>
              <w:t xml:space="preserve"> </w:t>
            </w:r>
            <w:proofErr w:type="spellStart"/>
            <w:r w:rsidR="008C6260" w:rsidRPr="00017031">
              <w:rPr>
                <w:sz w:val="22"/>
                <w:szCs w:val="22"/>
              </w:rPr>
              <w:t>ng</w:t>
            </w:r>
            <w:proofErr w:type="spellEnd"/>
            <w:r w:rsidR="008C6260" w:rsidRPr="00017031">
              <w:rPr>
                <w:sz w:val="22"/>
                <w:szCs w:val="22"/>
              </w:rPr>
              <w:t>/Nm</w:t>
            </w:r>
            <w:r w:rsidR="008C6260" w:rsidRPr="008C6260">
              <w:rPr>
                <w:sz w:val="22"/>
                <w:szCs w:val="22"/>
                <w:vertAlign w:val="superscript"/>
              </w:rPr>
              <w:t>3</w:t>
            </w:r>
          </w:p>
          <w:p w14:paraId="027CBAB3" w14:textId="4BF57663" w:rsidR="00FB403E" w:rsidRPr="00F9788C" w:rsidRDefault="00FB403E" w:rsidP="00F9788C">
            <w:pPr>
              <w:autoSpaceDE w:val="0"/>
              <w:autoSpaceDN w:val="0"/>
              <w:adjustRightInd w:val="0"/>
              <w:spacing w:beforeLines="40" w:before="96" w:afterLines="40" w:after="96" w:line="240" w:lineRule="auto"/>
              <w:jc w:val="left"/>
              <w:rPr>
                <w:sz w:val="22"/>
                <w:szCs w:val="22"/>
              </w:rPr>
            </w:pPr>
            <w:r w:rsidRPr="00017031">
              <w:rPr>
                <w:sz w:val="22"/>
                <w:szCs w:val="22"/>
              </w:rPr>
              <w:t>Średnia z próby o czasie trwania od 6 do 8 godzin</w:t>
            </w:r>
          </w:p>
        </w:tc>
      </w:tr>
      <w:tr w:rsidR="00FB403E" w:rsidRPr="00017031" w14:paraId="3CBED6D3" w14:textId="061309D2" w:rsidTr="003A3CB4">
        <w:tc>
          <w:tcPr>
            <w:tcW w:w="597" w:type="dxa"/>
            <w:vAlign w:val="center"/>
          </w:tcPr>
          <w:p w14:paraId="1ABE305A"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3705" w:type="dxa"/>
            <w:vAlign w:val="center"/>
          </w:tcPr>
          <w:p w14:paraId="0D519F33" w14:textId="77777777" w:rsidR="00FB403E" w:rsidRPr="00017031" w:rsidRDefault="00FB403E" w:rsidP="00F9788C">
            <w:pPr>
              <w:spacing w:before="40" w:after="40" w:line="240" w:lineRule="auto"/>
              <w:rPr>
                <w:sz w:val="22"/>
                <w:szCs w:val="22"/>
              </w:rPr>
            </w:pPr>
            <w:r w:rsidRPr="00017031">
              <w:rPr>
                <w:sz w:val="22"/>
                <w:szCs w:val="22"/>
              </w:rPr>
              <w:t xml:space="preserve">PCDD/F + PCB – wartość graniczna </w:t>
            </w:r>
          </w:p>
        </w:tc>
        <w:tc>
          <w:tcPr>
            <w:tcW w:w="4765" w:type="dxa"/>
            <w:gridSpan w:val="3"/>
            <w:vAlign w:val="center"/>
          </w:tcPr>
          <w:p w14:paraId="4631EA25" w14:textId="5547FC9E" w:rsidR="00FB403E" w:rsidRPr="00017031" w:rsidRDefault="00FB403E" w:rsidP="00F9788C">
            <w:pPr>
              <w:autoSpaceDE w:val="0"/>
              <w:autoSpaceDN w:val="0"/>
              <w:adjustRightInd w:val="0"/>
              <w:spacing w:beforeLines="40" w:before="96" w:afterLines="40" w:after="96" w:line="240" w:lineRule="auto"/>
              <w:jc w:val="left"/>
              <w:rPr>
                <w:sz w:val="22"/>
                <w:szCs w:val="22"/>
              </w:rPr>
            </w:pPr>
            <w:r w:rsidRPr="00017031">
              <w:rPr>
                <w:sz w:val="22"/>
                <w:szCs w:val="22"/>
              </w:rPr>
              <w:t xml:space="preserve"> ≤ 0,04</w:t>
            </w:r>
            <w:r w:rsidR="008C6260">
              <w:rPr>
                <w:sz w:val="22"/>
                <w:szCs w:val="22"/>
              </w:rPr>
              <w:t xml:space="preserve"> </w:t>
            </w:r>
            <w:proofErr w:type="spellStart"/>
            <w:r w:rsidR="008C6260" w:rsidRPr="00017031">
              <w:rPr>
                <w:sz w:val="22"/>
                <w:szCs w:val="22"/>
              </w:rPr>
              <w:t>ng</w:t>
            </w:r>
            <w:proofErr w:type="spellEnd"/>
            <w:r w:rsidR="008C6260" w:rsidRPr="00017031">
              <w:rPr>
                <w:sz w:val="22"/>
                <w:szCs w:val="22"/>
              </w:rPr>
              <w:t>/Nm</w:t>
            </w:r>
            <w:r w:rsidR="008C6260" w:rsidRPr="008C6260">
              <w:rPr>
                <w:sz w:val="22"/>
                <w:szCs w:val="22"/>
                <w:vertAlign w:val="superscript"/>
              </w:rPr>
              <w:t>3</w:t>
            </w:r>
          </w:p>
          <w:p w14:paraId="236C77E3" w14:textId="22CBA124" w:rsidR="00FB403E" w:rsidRPr="00F9788C" w:rsidRDefault="00FB403E" w:rsidP="00F9788C">
            <w:pPr>
              <w:autoSpaceDE w:val="0"/>
              <w:autoSpaceDN w:val="0"/>
              <w:adjustRightInd w:val="0"/>
              <w:spacing w:beforeLines="40" w:before="96" w:afterLines="40" w:after="96" w:line="240" w:lineRule="auto"/>
              <w:jc w:val="left"/>
              <w:rPr>
                <w:sz w:val="22"/>
                <w:szCs w:val="22"/>
              </w:rPr>
            </w:pPr>
            <w:r w:rsidRPr="00017031">
              <w:rPr>
                <w:sz w:val="22"/>
                <w:szCs w:val="22"/>
              </w:rPr>
              <w:t>Średnia z próby o czasie trwania od 6 do 8 godzin</w:t>
            </w:r>
          </w:p>
        </w:tc>
      </w:tr>
      <w:tr w:rsidR="00FB403E" w:rsidRPr="00017031" w14:paraId="741A031C" w14:textId="13400B96" w:rsidTr="00FA00FC">
        <w:tc>
          <w:tcPr>
            <w:tcW w:w="9067" w:type="dxa"/>
            <w:gridSpan w:val="5"/>
            <w:vAlign w:val="center"/>
          </w:tcPr>
          <w:p w14:paraId="1B0932B4" w14:textId="77777777" w:rsidR="00FB403E" w:rsidRPr="00017031" w:rsidRDefault="00FB403E" w:rsidP="00F9788C">
            <w:pPr>
              <w:autoSpaceDE w:val="0"/>
              <w:autoSpaceDN w:val="0"/>
              <w:adjustRightInd w:val="0"/>
              <w:spacing w:before="40" w:after="40" w:line="240" w:lineRule="auto"/>
              <w:jc w:val="left"/>
            </w:pPr>
          </w:p>
        </w:tc>
      </w:tr>
      <w:tr w:rsidR="00FB403E" w:rsidRPr="00017031" w14:paraId="0C81659A" w14:textId="4AEADDDF" w:rsidTr="003A3CB4">
        <w:tc>
          <w:tcPr>
            <w:tcW w:w="597" w:type="dxa"/>
            <w:vAlign w:val="center"/>
          </w:tcPr>
          <w:p w14:paraId="24F62F4D"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8470" w:type="dxa"/>
            <w:gridSpan w:val="4"/>
            <w:vAlign w:val="center"/>
          </w:tcPr>
          <w:p w14:paraId="21EAB828" w14:textId="77777777" w:rsidR="00FB403E" w:rsidRPr="00017031" w:rsidRDefault="00FB403E" w:rsidP="00F9788C">
            <w:pPr>
              <w:autoSpaceDE w:val="0"/>
              <w:autoSpaceDN w:val="0"/>
              <w:adjustRightInd w:val="0"/>
              <w:spacing w:before="40" w:after="40" w:line="240" w:lineRule="auto"/>
              <w:jc w:val="left"/>
              <w:rPr>
                <w:rFonts w:eastAsiaTheme="minorHAnsi"/>
                <w:b/>
                <w:bCs/>
                <w:sz w:val="22"/>
                <w:szCs w:val="22"/>
              </w:rPr>
            </w:pPr>
            <w:r w:rsidRPr="00017031">
              <w:rPr>
                <w:rFonts w:eastAsiaTheme="minorHAnsi"/>
                <w:b/>
                <w:bCs/>
                <w:sz w:val="22"/>
                <w:szCs w:val="22"/>
              </w:rPr>
              <w:t>Zawartość niespalonych substancji w żużlach i popiołach paleniskowych</w:t>
            </w:r>
          </w:p>
          <w:p w14:paraId="44A78E5A" w14:textId="77777777" w:rsidR="00FB403E" w:rsidRPr="00017031" w:rsidRDefault="00FB403E" w:rsidP="00F9788C">
            <w:pPr>
              <w:autoSpaceDE w:val="0"/>
              <w:autoSpaceDN w:val="0"/>
              <w:adjustRightInd w:val="0"/>
              <w:spacing w:before="40" w:after="40" w:line="240" w:lineRule="auto"/>
              <w:jc w:val="left"/>
              <w:rPr>
                <w:rFonts w:eastAsiaTheme="minorHAnsi"/>
                <w:b/>
                <w:bCs/>
                <w:sz w:val="22"/>
                <w:szCs w:val="22"/>
              </w:rPr>
            </w:pPr>
          </w:p>
          <w:p w14:paraId="6B0CF8E5"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 xml:space="preserve">Zawartość OWO w żużlach i popiołach paleniskowych - % wagowo – &lt;3 </w:t>
            </w:r>
          </w:p>
          <w:p w14:paraId="6BB5601A" w14:textId="77777777" w:rsidR="00FB403E" w:rsidRPr="00017031" w:rsidRDefault="00FB403E" w:rsidP="00F9788C">
            <w:pPr>
              <w:autoSpaceDE w:val="0"/>
              <w:autoSpaceDN w:val="0"/>
              <w:adjustRightInd w:val="0"/>
              <w:spacing w:before="40" w:after="40" w:line="240" w:lineRule="auto"/>
              <w:jc w:val="left"/>
              <w:rPr>
                <w:sz w:val="22"/>
                <w:szCs w:val="22"/>
              </w:rPr>
            </w:pPr>
          </w:p>
          <w:p w14:paraId="2834A97A" w14:textId="77777777" w:rsidR="00FB403E" w:rsidRPr="00017031" w:rsidRDefault="00FB403E" w:rsidP="00F9788C">
            <w:pPr>
              <w:autoSpaceDE w:val="0"/>
              <w:autoSpaceDN w:val="0"/>
              <w:adjustRightInd w:val="0"/>
              <w:spacing w:before="40" w:after="40" w:line="240" w:lineRule="auto"/>
              <w:jc w:val="left"/>
              <w:rPr>
                <w:sz w:val="22"/>
                <w:szCs w:val="22"/>
              </w:rPr>
            </w:pPr>
            <w:r w:rsidRPr="00017031">
              <w:rPr>
                <w:sz w:val="22"/>
                <w:szCs w:val="22"/>
              </w:rPr>
              <w:t>Strata przy prażeniu żużli i popiołów paleniskowych - % wagowo -  &lt;5</w:t>
            </w:r>
          </w:p>
          <w:p w14:paraId="075673AF"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p>
          <w:p w14:paraId="1AA0A332"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p>
          <w:p w14:paraId="1FA1657F"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r w:rsidRPr="00017031">
              <w:rPr>
                <w:rFonts w:eastAsiaTheme="minorHAnsi"/>
                <w:sz w:val="22"/>
                <w:szCs w:val="22"/>
              </w:rPr>
              <w:t xml:space="preserve">Oznaczanie TOC: PN-EN 15936:2022-07 Gleba, odpady, uzdatnione bioodpady oraz osady ściekowe—Oznaczanie całkowitej zawartości węgla organicznego (TOC) </w:t>
            </w:r>
            <w:r w:rsidRPr="00017031">
              <w:rPr>
                <w:rFonts w:eastAsiaTheme="minorHAnsi"/>
                <w:sz w:val="22"/>
                <w:szCs w:val="22"/>
              </w:rPr>
              <w:lastRenderedPageBreak/>
              <w:t>po suchym spalaniu lub PN EN 13137:2004 (Charakteryzowanie odpadów - Oznaczanie ogólnego węgla organicznego (OWO) w odpadach, szlamach i osadach).</w:t>
            </w:r>
          </w:p>
          <w:p w14:paraId="0DBF72AF"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p>
          <w:p w14:paraId="049F6A3C"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r w:rsidRPr="00017031">
              <w:rPr>
                <w:rFonts w:eastAsiaTheme="minorHAnsi"/>
                <w:sz w:val="22"/>
                <w:szCs w:val="22"/>
              </w:rPr>
              <w:t>Straty prażenia: PN-EN 15935:2022-01 Gleba, odpady, uzdatnione bioodpady oraz osady ściekowe — Oznaczanie strat podczas prażenia</w:t>
            </w:r>
          </w:p>
          <w:p w14:paraId="72BB3E49"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p>
          <w:p w14:paraId="14516318"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r w:rsidRPr="00017031">
              <w:rPr>
                <w:rFonts w:eastAsiaTheme="minorHAnsi"/>
                <w:sz w:val="22"/>
                <w:szCs w:val="22"/>
              </w:rPr>
              <w:t>Poboru próbek żużla oraz popiołów paleniskowych należy dokonać zgodnie z wymaganiami opisanymi w PN-EN  14899:2006  „Charakteryzowanie  odpadów  -  Pobieranie  próbek  materiałów  - Struktura przygotowania i zastosowania planu pobierania próbek”,</w:t>
            </w:r>
          </w:p>
          <w:p w14:paraId="2F4E983B" w14:textId="77777777" w:rsidR="00FB403E" w:rsidRPr="00017031" w:rsidRDefault="00FB403E" w:rsidP="00F9788C">
            <w:pPr>
              <w:autoSpaceDE w:val="0"/>
              <w:autoSpaceDN w:val="0"/>
              <w:adjustRightInd w:val="0"/>
              <w:spacing w:before="40" w:after="40" w:line="240" w:lineRule="auto"/>
              <w:jc w:val="left"/>
              <w:rPr>
                <w:rFonts w:eastAsiaTheme="minorHAnsi"/>
                <w:b/>
                <w:bCs/>
              </w:rPr>
            </w:pPr>
          </w:p>
        </w:tc>
      </w:tr>
      <w:tr w:rsidR="00FB403E" w:rsidRPr="00017031" w14:paraId="5E90ECA9" w14:textId="7532D3EA" w:rsidTr="003A3CB4">
        <w:tc>
          <w:tcPr>
            <w:tcW w:w="597" w:type="dxa"/>
            <w:vAlign w:val="center"/>
          </w:tcPr>
          <w:p w14:paraId="5B237918" w14:textId="77777777" w:rsidR="00FB403E" w:rsidRPr="00017031" w:rsidRDefault="00FB403E" w:rsidP="00F9788C">
            <w:pPr>
              <w:pStyle w:val="Akapitzlist"/>
              <w:numPr>
                <w:ilvl w:val="0"/>
                <w:numId w:val="1"/>
              </w:numPr>
              <w:autoSpaceDE w:val="0"/>
              <w:autoSpaceDN w:val="0"/>
              <w:adjustRightInd w:val="0"/>
              <w:spacing w:before="40" w:after="40" w:line="240" w:lineRule="auto"/>
              <w:jc w:val="left"/>
              <w:rPr>
                <w:sz w:val="22"/>
                <w:szCs w:val="22"/>
              </w:rPr>
            </w:pPr>
          </w:p>
        </w:tc>
        <w:tc>
          <w:tcPr>
            <w:tcW w:w="8470" w:type="dxa"/>
            <w:gridSpan w:val="4"/>
            <w:vAlign w:val="center"/>
          </w:tcPr>
          <w:p w14:paraId="438A4A7E" w14:textId="77777777" w:rsidR="00FB403E" w:rsidRPr="00017031" w:rsidRDefault="00FB403E" w:rsidP="00F9788C">
            <w:pPr>
              <w:spacing w:before="40" w:after="40" w:line="240" w:lineRule="auto"/>
              <w:rPr>
                <w:sz w:val="22"/>
                <w:szCs w:val="22"/>
              </w:rPr>
            </w:pPr>
            <w:r w:rsidRPr="00017031">
              <w:rPr>
                <w:sz w:val="22"/>
                <w:szCs w:val="22"/>
              </w:rPr>
              <w:t>Spełnienie warunku procesowego przebywania spalin przez 2 sek. w temperaturze ≥ 850°C</w:t>
            </w:r>
          </w:p>
          <w:p w14:paraId="2B589BAA"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r w:rsidRPr="00017031">
              <w:rPr>
                <w:rFonts w:eastAsiaTheme="minorHAnsi"/>
                <w:sz w:val="22"/>
                <w:szCs w:val="22"/>
              </w:rPr>
              <w:t>Wykonawca, opracuje szczegó</w:t>
            </w:r>
            <w:r w:rsidRPr="00017031">
              <w:rPr>
                <w:rFonts w:eastAsia="ArialMT"/>
                <w:sz w:val="22"/>
                <w:szCs w:val="22"/>
              </w:rPr>
              <w:t>ł</w:t>
            </w:r>
            <w:r w:rsidRPr="00017031">
              <w:rPr>
                <w:rFonts w:eastAsiaTheme="minorHAnsi"/>
                <w:sz w:val="22"/>
                <w:szCs w:val="22"/>
              </w:rPr>
              <w:t>ow</w:t>
            </w:r>
            <w:r w:rsidRPr="00017031">
              <w:rPr>
                <w:rFonts w:eastAsia="ArialMT"/>
                <w:sz w:val="22"/>
                <w:szCs w:val="22"/>
              </w:rPr>
              <w:t xml:space="preserve">ą </w:t>
            </w:r>
            <w:r w:rsidRPr="00017031">
              <w:rPr>
                <w:rFonts w:eastAsiaTheme="minorHAnsi"/>
                <w:sz w:val="22"/>
                <w:szCs w:val="22"/>
              </w:rPr>
              <w:t>procedur</w:t>
            </w:r>
            <w:r w:rsidRPr="00017031">
              <w:rPr>
                <w:rFonts w:eastAsia="ArialMT"/>
                <w:sz w:val="22"/>
                <w:szCs w:val="22"/>
              </w:rPr>
              <w:t xml:space="preserve">ę </w:t>
            </w:r>
            <w:r w:rsidRPr="00017031">
              <w:rPr>
                <w:rFonts w:eastAsiaTheme="minorHAnsi"/>
                <w:sz w:val="22"/>
                <w:szCs w:val="22"/>
              </w:rPr>
              <w:t>i program bada</w:t>
            </w:r>
            <w:r w:rsidRPr="00017031">
              <w:rPr>
                <w:rFonts w:eastAsia="ArialMT"/>
                <w:sz w:val="22"/>
                <w:szCs w:val="22"/>
              </w:rPr>
              <w:t xml:space="preserve">ń </w:t>
            </w:r>
            <w:r w:rsidRPr="00017031">
              <w:rPr>
                <w:rFonts w:eastAsiaTheme="minorHAnsi"/>
                <w:sz w:val="22"/>
                <w:szCs w:val="22"/>
              </w:rPr>
              <w:t>dokumentuj</w:t>
            </w:r>
            <w:r w:rsidRPr="00017031">
              <w:rPr>
                <w:rFonts w:eastAsia="ArialMT"/>
                <w:sz w:val="22"/>
                <w:szCs w:val="22"/>
              </w:rPr>
              <w:t>ą</w:t>
            </w:r>
            <w:r w:rsidRPr="00017031">
              <w:rPr>
                <w:rFonts w:eastAsiaTheme="minorHAnsi"/>
                <w:sz w:val="22"/>
                <w:szCs w:val="22"/>
              </w:rPr>
              <w:t>cych wype</w:t>
            </w:r>
            <w:r w:rsidRPr="00017031">
              <w:rPr>
                <w:rFonts w:eastAsia="ArialMT"/>
                <w:sz w:val="22"/>
                <w:szCs w:val="22"/>
              </w:rPr>
              <w:t>ł</w:t>
            </w:r>
            <w:r w:rsidRPr="00017031">
              <w:rPr>
                <w:rFonts w:eastAsiaTheme="minorHAnsi"/>
                <w:sz w:val="22"/>
                <w:szCs w:val="22"/>
              </w:rPr>
              <w:t>nienie wymaga</w:t>
            </w:r>
            <w:r w:rsidRPr="00017031">
              <w:rPr>
                <w:rFonts w:eastAsia="ArialMT"/>
                <w:sz w:val="22"/>
                <w:szCs w:val="22"/>
              </w:rPr>
              <w:t xml:space="preserve">ń </w:t>
            </w:r>
            <w:r w:rsidRPr="00017031">
              <w:rPr>
                <w:rFonts w:eastAsiaTheme="minorHAnsi"/>
                <w:sz w:val="22"/>
                <w:szCs w:val="22"/>
              </w:rPr>
              <w:t>par. 2 rozporz</w:t>
            </w:r>
            <w:r w:rsidRPr="00017031">
              <w:rPr>
                <w:rFonts w:eastAsia="ArialMT"/>
                <w:sz w:val="22"/>
                <w:szCs w:val="22"/>
              </w:rPr>
              <w:t>ą</w:t>
            </w:r>
            <w:r w:rsidRPr="00017031">
              <w:rPr>
                <w:rFonts w:eastAsiaTheme="minorHAnsi"/>
                <w:sz w:val="22"/>
                <w:szCs w:val="22"/>
              </w:rPr>
              <w:t>dzenia Ministra Rozwoju z dnia 21 stycznia 2016 r. w sprawie wymaga</w:t>
            </w:r>
            <w:r w:rsidRPr="00017031">
              <w:rPr>
                <w:rFonts w:eastAsia="ArialMT"/>
                <w:sz w:val="22"/>
                <w:szCs w:val="22"/>
              </w:rPr>
              <w:t xml:space="preserve">ń </w:t>
            </w:r>
            <w:r w:rsidRPr="00017031">
              <w:rPr>
                <w:rFonts w:eastAsiaTheme="minorHAnsi"/>
                <w:sz w:val="22"/>
                <w:szCs w:val="22"/>
              </w:rPr>
              <w:t>dotycz</w:t>
            </w:r>
            <w:r w:rsidRPr="00017031">
              <w:rPr>
                <w:rFonts w:eastAsia="ArialMT"/>
                <w:sz w:val="22"/>
                <w:szCs w:val="22"/>
              </w:rPr>
              <w:t>ą</w:t>
            </w:r>
            <w:r w:rsidRPr="00017031">
              <w:rPr>
                <w:rFonts w:eastAsiaTheme="minorHAnsi"/>
                <w:sz w:val="22"/>
                <w:szCs w:val="22"/>
              </w:rPr>
              <w:t>cych prowadzenia procesu termicznego przekszta</w:t>
            </w:r>
            <w:r w:rsidRPr="00017031">
              <w:rPr>
                <w:rFonts w:eastAsia="ArialMT"/>
                <w:sz w:val="22"/>
                <w:szCs w:val="22"/>
              </w:rPr>
              <w:t>ł</w:t>
            </w:r>
            <w:r w:rsidRPr="00017031">
              <w:rPr>
                <w:rFonts w:eastAsiaTheme="minorHAnsi"/>
                <w:sz w:val="22"/>
                <w:szCs w:val="22"/>
              </w:rPr>
              <w:t>cania odpadów oraz sposobu post</w:t>
            </w:r>
            <w:r w:rsidRPr="00017031">
              <w:rPr>
                <w:rFonts w:eastAsia="ArialMT"/>
                <w:sz w:val="22"/>
                <w:szCs w:val="22"/>
              </w:rPr>
              <w:t>ę</w:t>
            </w:r>
            <w:r w:rsidRPr="00017031">
              <w:rPr>
                <w:rFonts w:eastAsiaTheme="minorHAnsi"/>
                <w:sz w:val="22"/>
                <w:szCs w:val="22"/>
              </w:rPr>
              <w:t>powania z odpadami powsta</w:t>
            </w:r>
            <w:r w:rsidRPr="00017031">
              <w:rPr>
                <w:rFonts w:eastAsia="ArialMT"/>
                <w:sz w:val="22"/>
                <w:szCs w:val="22"/>
              </w:rPr>
              <w:t>ł</w:t>
            </w:r>
            <w:r w:rsidRPr="00017031">
              <w:rPr>
                <w:rFonts w:eastAsiaTheme="minorHAnsi"/>
                <w:sz w:val="22"/>
                <w:szCs w:val="22"/>
              </w:rPr>
              <w:t>ymi w wyniku tego procesu (Dz. U. z 2016 r. poz. 108) i uzgodni j</w:t>
            </w:r>
            <w:r w:rsidRPr="00017031">
              <w:rPr>
                <w:rFonts w:eastAsia="ArialMT"/>
                <w:sz w:val="22"/>
                <w:szCs w:val="22"/>
              </w:rPr>
              <w:t xml:space="preserve">ą </w:t>
            </w:r>
            <w:r w:rsidRPr="00017031">
              <w:rPr>
                <w:rFonts w:eastAsiaTheme="minorHAnsi"/>
                <w:sz w:val="22"/>
                <w:szCs w:val="22"/>
              </w:rPr>
              <w:t>z Zamawiającym a nast</w:t>
            </w:r>
            <w:r w:rsidRPr="00017031">
              <w:rPr>
                <w:rFonts w:eastAsia="ArialMT"/>
                <w:sz w:val="22"/>
                <w:szCs w:val="22"/>
              </w:rPr>
              <w:t>ę</w:t>
            </w:r>
            <w:r w:rsidRPr="00017031">
              <w:rPr>
                <w:rFonts w:eastAsiaTheme="minorHAnsi"/>
                <w:sz w:val="22"/>
                <w:szCs w:val="22"/>
              </w:rPr>
              <w:t>pnie uzyska pozytywn</w:t>
            </w:r>
            <w:r w:rsidRPr="00017031">
              <w:rPr>
                <w:rFonts w:eastAsia="ArialMT"/>
                <w:sz w:val="22"/>
                <w:szCs w:val="22"/>
              </w:rPr>
              <w:t xml:space="preserve">ą </w:t>
            </w:r>
            <w:r w:rsidRPr="00017031">
              <w:rPr>
                <w:rFonts w:eastAsiaTheme="minorHAnsi"/>
                <w:sz w:val="22"/>
                <w:szCs w:val="22"/>
              </w:rPr>
              <w:t>opini</w:t>
            </w:r>
            <w:r w:rsidRPr="00017031">
              <w:rPr>
                <w:rFonts w:eastAsia="ArialMT"/>
                <w:sz w:val="22"/>
                <w:szCs w:val="22"/>
              </w:rPr>
              <w:t xml:space="preserve">ę </w:t>
            </w:r>
            <w:r w:rsidRPr="00017031">
              <w:rPr>
                <w:rFonts w:eastAsiaTheme="minorHAnsi"/>
                <w:sz w:val="22"/>
                <w:szCs w:val="22"/>
              </w:rPr>
              <w:t>Niezale</w:t>
            </w:r>
            <w:r w:rsidRPr="00017031">
              <w:rPr>
                <w:rFonts w:eastAsia="ArialMT"/>
                <w:sz w:val="22"/>
                <w:szCs w:val="22"/>
              </w:rPr>
              <w:t>ż</w:t>
            </w:r>
            <w:r w:rsidRPr="00017031">
              <w:rPr>
                <w:rFonts w:eastAsiaTheme="minorHAnsi"/>
                <w:sz w:val="22"/>
                <w:szCs w:val="22"/>
              </w:rPr>
              <w:t>nej Instytucji wskazanej przez Zamawiaj</w:t>
            </w:r>
            <w:r w:rsidRPr="00017031">
              <w:rPr>
                <w:rFonts w:eastAsia="ArialMT"/>
                <w:sz w:val="22"/>
                <w:szCs w:val="22"/>
              </w:rPr>
              <w:t>ą</w:t>
            </w:r>
            <w:r w:rsidRPr="00017031">
              <w:rPr>
                <w:rFonts w:eastAsiaTheme="minorHAnsi"/>
                <w:sz w:val="22"/>
                <w:szCs w:val="22"/>
              </w:rPr>
              <w:t>cego. Procedura ta zostanie zaimplementowana w systemie DCS oraz b</w:t>
            </w:r>
            <w:r w:rsidRPr="00017031">
              <w:rPr>
                <w:rFonts w:eastAsia="ArialMT"/>
                <w:sz w:val="22"/>
                <w:szCs w:val="22"/>
              </w:rPr>
              <w:t>ę</w:t>
            </w:r>
            <w:r w:rsidRPr="00017031">
              <w:rPr>
                <w:rFonts w:eastAsiaTheme="minorHAnsi"/>
                <w:sz w:val="22"/>
                <w:szCs w:val="22"/>
              </w:rPr>
              <w:t>dzie stanowi</w:t>
            </w:r>
            <w:r w:rsidRPr="00017031">
              <w:rPr>
                <w:rFonts w:eastAsia="ArialMT"/>
                <w:sz w:val="22"/>
                <w:szCs w:val="22"/>
              </w:rPr>
              <w:t>ł</w:t>
            </w:r>
            <w:r w:rsidRPr="00017031">
              <w:rPr>
                <w:rFonts w:eastAsiaTheme="minorHAnsi"/>
                <w:sz w:val="22"/>
                <w:szCs w:val="22"/>
              </w:rPr>
              <w:t>a</w:t>
            </w:r>
          </w:p>
          <w:p w14:paraId="0158A513"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r w:rsidRPr="00017031">
              <w:rPr>
                <w:rFonts w:eastAsiaTheme="minorHAnsi"/>
                <w:sz w:val="22"/>
                <w:szCs w:val="22"/>
              </w:rPr>
              <w:t>podstaw</w:t>
            </w:r>
            <w:r w:rsidRPr="00017031">
              <w:rPr>
                <w:rFonts w:eastAsia="ArialMT"/>
                <w:sz w:val="22"/>
                <w:szCs w:val="22"/>
              </w:rPr>
              <w:t xml:space="preserve">ę </w:t>
            </w:r>
            <w:r w:rsidRPr="00017031">
              <w:rPr>
                <w:rFonts w:eastAsiaTheme="minorHAnsi"/>
                <w:sz w:val="22"/>
                <w:szCs w:val="22"/>
              </w:rPr>
              <w:t>do oceny spe</w:t>
            </w:r>
            <w:r w:rsidRPr="00017031">
              <w:rPr>
                <w:rFonts w:eastAsia="ArialMT"/>
                <w:sz w:val="22"/>
                <w:szCs w:val="22"/>
              </w:rPr>
              <w:t>ł</w:t>
            </w:r>
            <w:r w:rsidRPr="00017031">
              <w:rPr>
                <w:rFonts w:eastAsiaTheme="minorHAnsi"/>
                <w:sz w:val="22"/>
                <w:szCs w:val="22"/>
              </w:rPr>
              <w:t>nienia tego warunku procesowego. Zamawiaj</w:t>
            </w:r>
            <w:r w:rsidRPr="00017031">
              <w:rPr>
                <w:rFonts w:eastAsia="ArialMT"/>
                <w:sz w:val="22"/>
                <w:szCs w:val="22"/>
              </w:rPr>
              <w:t>ą</w:t>
            </w:r>
            <w:r w:rsidRPr="00017031">
              <w:rPr>
                <w:rFonts w:eastAsiaTheme="minorHAnsi"/>
                <w:sz w:val="22"/>
                <w:szCs w:val="22"/>
              </w:rPr>
              <w:t>cy wymaga, aby do oceny spe</w:t>
            </w:r>
            <w:r w:rsidRPr="00017031">
              <w:rPr>
                <w:rFonts w:eastAsia="ArialMT"/>
                <w:sz w:val="22"/>
                <w:szCs w:val="22"/>
              </w:rPr>
              <w:t>ł</w:t>
            </w:r>
            <w:r w:rsidRPr="00017031">
              <w:rPr>
                <w:rFonts w:eastAsiaTheme="minorHAnsi"/>
                <w:sz w:val="22"/>
                <w:szCs w:val="22"/>
              </w:rPr>
              <w:t>nienia tego warunku przyjmowano wyniki pomiaru temperatury jako warto</w:t>
            </w:r>
            <w:r w:rsidRPr="00017031">
              <w:rPr>
                <w:rFonts w:eastAsia="ArialMT"/>
                <w:sz w:val="22"/>
                <w:szCs w:val="22"/>
              </w:rPr>
              <w:t>ś</w:t>
            </w:r>
            <w:r w:rsidRPr="00017031">
              <w:rPr>
                <w:rFonts w:eastAsiaTheme="minorHAnsi"/>
                <w:sz w:val="22"/>
                <w:szCs w:val="22"/>
              </w:rPr>
              <w:t xml:space="preserve">ci </w:t>
            </w:r>
            <w:r w:rsidRPr="00017031">
              <w:rPr>
                <w:rFonts w:eastAsia="ArialMT"/>
                <w:sz w:val="22"/>
                <w:szCs w:val="22"/>
              </w:rPr>
              <w:t>ś</w:t>
            </w:r>
            <w:r w:rsidRPr="00017031">
              <w:rPr>
                <w:rFonts w:eastAsiaTheme="minorHAnsi"/>
                <w:sz w:val="22"/>
                <w:szCs w:val="22"/>
              </w:rPr>
              <w:t>redniej dziesi</w:t>
            </w:r>
            <w:r w:rsidRPr="00017031">
              <w:rPr>
                <w:rFonts w:eastAsia="ArialMT"/>
                <w:sz w:val="22"/>
                <w:szCs w:val="22"/>
              </w:rPr>
              <w:t>ę</w:t>
            </w:r>
            <w:r w:rsidRPr="00017031">
              <w:rPr>
                <w:rFonts w:eastAsiaTheme="minorHAnsi"/>
                <w:sz w:val="22"/>
                <w:szCs w:val="22"/>
              </w:rPr>
              <w:t>ciominutowej a pomiary dokumentuj</w:t>
            </w:r>
            <w:r w:rsidRPr="00017031">
              <w:rPr>
                <w:rFonts w:eastAsia="ArialMT"/>
                <w:sz w:val="22"/>
                <w:szCs w:val="22"/>
              </w:rPr>
              <w:t>ą</w:t>
            </w:r>
            <w:r w:rsidRPr="00017031">
              <w:rPr>
                <w:rFonts w:eastAsiaTheme="minorHAnsi"/>
                <w:sz w:val="22"/>
                <w:szCs w:val="22"/>
              </w:rPr>
              <w:t>ce wype</w:t>
            </w:r>
            <w:r w:rsidRPr="00017031">
              <w:rPr>
                <w:rFonts w:eastAsia="ArialMT"/>
                <w:sz w:val="22"/>
                <w:szCs w:val="22"/>
              </w:rPr>
              <w:t>ł</w:t>
            </w:r>
            <w:r w:rsidRPr="00017031">
              <w:rPr>
                <w:rFonts w:eastAsiaTheme="minorHAnsi"/>
                <w:sz w:val="22"/>
                <w:szCs w:val="22"/>
              </w:rPr>
              <w:t>nienie tego warunku prowadzone by</w:t>
            </w:r>
            <w:r w:rsidRPr="00017031">
              <w:rPr>
                <w:rFonts w:eastAsia="ArialMT"/>
                <w:sz w:val="22"/>
                <w:szCs w:val="22"/>
              </w:rPr>
              <w:t>ł</w:t>
            </w:r>
            <w:r w:rsidRPr="00017031">
              <w:rPr>
                <w:rFonts w:eastAsiaTheme="minorHAnsi"/>
                <w:sz w:val="22"/>
                <w:szCs w:val="22"/>
              </w:rPr>
              <w:t>y we wszystkich stanach pracy paleniskach w ustalonych (stabilnych) warunkach funkcjonowania instalacji.</w:t>
            </w:r>
          </w:p>
          <w:p w14:paraId="40C174FD" w14:textId="77777777" w:rsidR="00FB403E" w:rsidRPr="00017031" w:rsidRDefault="00FB403E" w:rsidP="00F9788C">
            <w:pPr>
              <w:autoSpaceDE w:val="0"/>
              <w:autoSpaceDN w:val="0"/>
              <w:adjustRightInd w:val="0"/>
              <w:spacing w:before="40" w:after="40" w:line="240" w:lineRule="auto"/>
              <w:jc w:val="left"/>
              <w:rPr>
                <w:rFonts w:eastAsiaTheme="minorHAnsi"/>
                <w:sz w:val="22"/>
                <w:szCs w:val="22"/>
              </w:rPr>
            </w:pPr>
          </w:p>
          <w:p w14:paraId="39F8B8F6" w14:textId="77777777" w:rsidR="00FB403E" w:rsidRPr="00017031" w:rsidRDefault="00FB403E" w:rsidP="00F9788C">
            <w:pPr>
              <w:spacing w:before="40" w:after="40" w:line="240" w:lineRule="auto"/>
            </w:pPr>
          </w:p>
        </w:tc>
      </w:tr>
      <w:bookmarkEnd w:id="0"/>
    </w:tbl>
    <w:p w14:paraId="3F923228" w14:textId="77777777" w:rsidR="003A3CB4" w:rsidRDefault="003A3CB4" w:rsidP="003A3CB4">
      <w:pPr>
        <w:pStyle w:val="Legenda"/>
        <w:rPr>
          <w:rFonts w:ascii="Arial" w:hAnsi="Arial" w:cs="Arial"/>
          <w:szCs w:val="22"/>
        </w:rPr>
      </w:pPr>
    </w:p>
    <w:p w14:paraId="43A09DC8" w14:textId="27068111" w:rsidR="003A3CB4" w:rsidRPr="00017031" w:rsidRDefault="003A3CB4" w:rsidP="003A3CB4">
      <w:pPr>
        <w:pStyle w:val="Legenda"/>
      </w:pPr>
      <w:r w:rsidRPr="00017031">
        <w:rPr>
          <w:rFonts w:ascii="Arial" w:hAnsi="Arial" w:cs="Arial"/>
          <w:szCs w:val="22"/>
        </w:rPr>
        <w:t xml:space="preserve">Poniżej w tabeli określono metody pomiarowe </w:t>
      </w:r>
    </w:p>
    <w:tbl>
      <w:tblPr>
        <w:tblStyle w:val="Tabela-Siatka"/>
        <w:tblW w:w="0" w:type="auto"/>
        <w:tblLook w:val="04A0" w:firstRow="1" w:lastRow="0" w:firstColumn="1" w:lastColumn="0" w:noHBand="0" w:noVBand="1"/>
      </w:tblPr>
      <w:tblGrid>
        <w:gridCol w:w="846"/>
        <w:gridCol w:w="4252"/>
        <w:gridCol w:w="3964"/>
      </w:tblGrid>
      <w:tr w:rsidR="003A3CB4" w:rsidRPr="00017031" w14:paraId="4D6418FD" w14:textId="77777777" w:rsidTr="000358A9">
        <w:tc>
          <w:tcPr>
            <w:tcW w:w="846" w:type="dxa"/>
          </w:tcPr>
          <w:p w14:paraId="03D1DC79" w14:textId="77777777" w:rsidR="003A3CB4" w:rsidRPr="00017031" w:rsidRDefault="003A3CB4" w:rsidP="000358A9">
            <w:pPr>
              <w:autoSpaceDE w:val="0"/>
              <w:autoSpaceDN w:val="0"/>
              <w:adjustRightInd w:val="0"/>
              <w:spacing w:before="0" w:after="0" w:line="240" w:lineRule="auto"/>
              <w:jc w:val="center"/>
              <w:rPr>
                <w:b/>
                <w:bCs/>
                <w:sz w:val="22"/>
                <w:szCs w:val="22"/>
              </w:rPr>
            </w:pPr>
            <w:r w:rsidRPr="00017031">
              <w:rPr>
                <w:b/>
                <w:bCs/>
                <w:sz w:val="22"/>
                <w:szCs w:val="22"/>
              </w:rPr>
              <w:t>LP</w:t>
            </w:r>
          </w:p>
        </w:tc>
        <w:tc>
          <w:tcPr>
            <w:tcW w:w="4252" w:type="dxa"/>
            <w:vAlign w:val="center"/>
          </w:tcPr>
          <w:p w14:paraId="2503D298" w14:textId="77777777" w:rsidR="003A3CB4" w:rsidRPr="00017031" w:rsidRDefault="003A3CB4" w:rsidP="000358A9">
            <w:pPr>
              <w:autoSpaceDE w:val="0"/>
              <w:autoSpaceDN w:val="0"/>
              <w:adjustRightInd w:val="0"/>
              <w:spacing w:before="0" w:after="0" w:line="240" w:lineRule="auto"/>
              <w:jc w:val="center"/>
              <w:rPr>
                <w:b/>
                <w:bCs/>
                <w:sz w:val="22"/>
                <w:szCs w:val="22"/>
              </w:rPr>
            </w:pPr>
            <w:r w:rsidRPr="00017031">
              <w:rPr>
                <w:b/>
                <w:bCs/>
                <w:sz w:val="22"/>
                <w:szCs w:val="22"/>
              </w:rPr>
              <w:t>Substancja</w:t>
            </w:r>
          </w:p>
        </w:tc>
        <w:tc>
          <w:tcPr>
            <w:tcW w:w="3964" w:type="dxa"/>
          </w:tcPr>
          <w:p w14:paraId="1EB2D362" w14:textId="77777777" w:rsidR="003A3CB4" w:rsidRPr="00017031" w:rsidRDefault="003A3CB4" w:rsidP="000358A9">
            <w:pPr>
              <w:autoSpaceDE w:val="0"/>
              <w:autoSpaceDN w:val="0"/>
              <w:adjustRightInd w:val="0"/>
              <w:spacing w:before="0" w:after="0" w:line="240" w:lineRule="auto"/>
              <w:jc w:val="center"/>
              <w:rPr>
                <w:b/>
                <w:bCs/>
                <w:sz w:val="22"/>
                <w:szCs w:val="22"/>
              </w:rPr>
            </w:pPr>
            <w:r w:rsidRPr="00017031">
              <w:rPr>
                <w:b/>
                <w:bCs/>
                <w:sz w:val="22"/>
                <w:szCs w:val="22"/>
              </w:rPr>
              <w:t>Metoda pomiarowa</w:t>
            </w:r>
          </w:p>
        </w:tc>
      </w:tr>
      <w:tr w:rsidR="003A3CB4" w:rsidRPr="00017031" w14:paraId="6295FF74" w14:textId="77777777" w:rsidTr="000358A9">
        <w:tc>
          <w:tcPr>
            <w:tcW w:w="846" w:type="dxa"/>
          </w:tcPr>
          <w:p w14:paraId="141F7934"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16798AD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 xml:space="preserve">Pył </w:t>
            </w:r>
          </w:p>
        </w:tc>
        <w:tc>
          <w:tcPr>
            <w:tcW w:w="3964" w:type="dxa"/>
          </w:tcPr>
          <w:p w14:paraId="4FCF6657"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13284-1:2018-02</w:t>
            </w:r>
          </w:p>
        </w:tc>
      </w:tr>
      <w:tr w:rsidR="003A3CB4" w:rsidRPr="00017031" w14:paraId="5FA09CC5" w14:textId="77777777" w:rsidTr="000358A9">
        <w:tc>
          <w:tcPr>
            <w:tcW w:w="846" w:type="dxa"/>
          </w:tcPr>
          <w:p w14:paraId="2F75FBE7"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5C4DA2EF"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Substancje organiczne w postaci gazów i par wyrażone jako całkowity węgiel organiczny</w:t>
            </w:r>
          </w:p>
        </w:tc>
        <w:tc>
          <w:tcPr>
            <w:tcW w:w="3964" w:type="dxa"/>
          </w:tcPr>
          <w:p w14:paraId="297098BF"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12619:2013-05</w:t>
            </w:r>
          </w:p>
        </w:tc>
      </w:tr>
      <w:tr w:rsidR="003A3CB4" w:rsidRPr="00017031" w14:paraId="7C8DA94F" w14:textId="77777777" w:rsidTr="000358A9">
        <w:tc>
          <w:tcPr>
            <w:tcW w:w="846" w:type="dxa"/>
          </w:tcPr>
          <w:p w14:paraId="2FAB130D"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51069943"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Chlorowodór - HCl</w:t>
            </w:r>
          </w:p>
        </w:tc>
        <w:tc>
          <w:tcPr>
            <w:tcW w:w="3964" w:type="dxa"/>
          </w:tcPr>
          <w:p w14:paraId="05327A6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1911:2011</w:t>
            </w:r>
            <w:r>
              <w:rPr>
                <w:sz w:val="22"/>
                <w:szCs w:val="22"/>
              </w:rPr>
              <w:t xml:space="preserve"> </w:t>
            </w:r>
            <w:r w:rsidRPr="00094826">
              <w:t>lub</w:t>
            </w:r>
            <w:r w:rsidRPr="00094826">
              <w:br/>
              <w:t xml:space="preserve">metoda absorpcji promieniowania </w:t>
            </w:r>
            <w:r>
              <w:t>FT</w:t>
            </w:r>
            <w:r w:rsidRPr="00094826">
              <w:t>IR</w:t>
            </w:r>
          </w:p>
        </w:tc>
      </w:tr>
      <w:tr w:rsidR="003A3CB4" w:rsidRPr="00017031" w14:paraId="3E0284FC" w14:textId="77777777" w:rsidTr="000358A9">
        <w:tc>
          <w:tcPr>
            <w:tcW w:w="846" w:type="dxa"/>
          </w:tcPr>
          <w:p w14:paraId="61A5463D"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1C848CD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Fluorowodór - HF</w:t>
            </w:r>
          </w:p>
        </w:tc>
        <w:tc>
          <w:tcPr>
            <w:tcW w:w="3964" w:type="dxa"/>
          </w:tcPr>
          <w:p w14:paraId="241B1507"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ISO 15713:2006</w:t>
            </w:r>
            <w:r>
              <w:rPr>
                <w:sz w:val="22"/>
                <w:szCs w:val="22"/>
              </w:rPr>
              <w:t xml:space="preserve"> </w:t>
            </w:r>
            <w:r w:rsidRPr="00094826">
              <w:t>lub</w:t>
            </w:r>
            <w:r w:rsidRPr="00094826">
              <w:br/>
              <w:t xml:space="preserve">metoda absorpcji promieniowania </w:t>
            </w:r>
            <w:r>
              <w:t>FT</w:t>
            </w:r>
            <w:r w:rsidRPr="00094826">
              <w:t>IR</w:t>
            </w:r>
          </w:p>
        </w:tc>
      </w:tr>
      <w:tr w:rsidR="003A3CB4" w:rsidRPr="00017031" w14:paraId="3E026EE4" w14:textId="77777777" w:rsidTr="000358A9">
        <w:tc>
          <w:tcPr>
            <w:tcW w:w="846" w:type="dxa"/>
          </w:tcPr>
          <w:p w14:paraId="01B4906A"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0714F65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Dwutlenek siarki – SO2</w:t>
            </w:r>
          </w:p>
        </w:tc>
        <w:tc>
          <w:tcPr>
            <w:tcW w:w="3964" w:type="dxa"/>
          </w:tcPr>
          <w:p w14:paraId="4A3A6A07"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14791:2017-04 lub</w:t>
            </w:r>
            <w:r w:rsidRPr="00017031">
              <w:rPr>
                <w:sz w:val="22"/>
                <w:szCs w:val="22"/>
              </w:rPr>
              <w:br/>
              <w:t>metoda absorpcji promieniowania IR lub UV wg PN-ISO 7935:2000</w:t>
            </w:r>
          </w:p>
        </w:tc>
      </w:tr>
      <w:tr w:rsidR="003A3CB4" w:rsidRPr="00017031" w14:paraId="14236CD0" w14:textId="77777777" w:rsidTr="000358A9">
        <w:tc>
          <w:tcPr>
            <w:tcW w:w="846" w:type="dxa"/>
          </w:tcPr>
          <w:p w14:paraId="7E650202"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040AF71F"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Tlenek węgla CO</w:t>
            </w:r>
          </w:p>
        </w:tc>
        <w:tc>
          <w:tcPr>
            <w:tcW w:w="3964" w:type="dxa"/>
          </w:tcPr>
          <w:p w14:paraId="33B7256C"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15058:2017-04</w:t>
            </w:r>
          </w:p>
        </w:tc>
      </w:tr>
      <w:tr w:rsidR="003A3CB4" w:rsidRPr="00017031" w14:paraId="5613B4E5" w14:textId="77777777" w:rsidTr="000358A9">
        <w:tc>
          <w:tcPr>
            <w:tcW w:w="846" w:type="dxa"/>
          </w:tcPr>
          <w:p w14:paraId="2E123377"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0B4D3626"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 xml:space="preserve">Tlenki azotu </w:t>
            </w:r>
            <w:proofErr w:type="spellStart"/>
            <w:r w:rsidRPr="00017031">
              <w:rPr>
                <w:sz w:val="22"/>
                <w:szCs w:val="22"/>
              </w:rPr>
              <w:t>NOx</w:t>
            </w:r>
            <w:proofErr w:type="spellEnd"/>
          </w:p>
        </w:tc>
        <w:tc>
          <w:tcPr>
            <w:tcW w:w="3964" w:type="dxa"/>
          </w:tcPr>
          <w:p w14:paraId="2C230215"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14792:2017-04</w:t>
            </w:r>
          </w:p>
        </w:tc>
      </w:tr>
      <w:tr w:rsidR="003A3CB4" w:rsidRPr="00017031" w14:paraId="301E4596" w14:textId="77777777" w:rsidTr="000358A9">
        <w:tc>
          <w:tcPr>
            <w:tcW w:w="846" w:type="dxa"/>
          </w:tcPr>
          <w:p w14:paraId="4D0FAA27"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6CFF88C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Amoniak</w:t>
            </w:r>
          </w:p>
        </w:tc>
        <w:tc>
          <w:tcPr>
            <w:tcW w:w="3964" w:type="dxa"/>
          </w:tcPr>
          <w:p w14:paraId="222E7E94" w14:textId="77777777" w:rsidR="003A3CB4" w:rsidRDefault="003A3CB4" w:rsidP="000358A9">
            <w:pPr>
              <w:autoSpaceDE w:val="0"/>
              <w:autoSpaceDN w:val="0"/>
              <w:adjustRightInd w:val="0"/>
              <w:spacing w:before="0" w:after="0" w:line="240" w:lineRule="auto"/>
              <w:jc w:val="left"/>
              <w:rPr>
                <w:sz w:val="22"/>
                <w:szCs w:val="22"/>
              </w:rPr>
            </w:pPr>
            <w:r w:rsidRPr="00017031">
              <w:rPr>
                <w:sz w:val="22"/>
                <w:szCs w:val="22"/>
              </w:rPr>
              <w:t>ISO 17179:2016</w:t>
            </w:r>
          </w:p>
          <w:p w14:paraId="6CBAB03B" w14:textId="77777777" w:rsidR="003A3CB4" w:rsidRPr="00094826" w:rsidRDefault="003A3CB4" w:rsidP="000358A9">
            <w:pPr>
              <w:autoSpaceDE w:val="0"/>
              <w:autoSpaceDN w:val="0"/>
              <w:adjustRightInd w:val="0"/>
              <w:spacing w:before="0" w:line="240" w:lineRule="auto"/>
              <w:jc w:val="left"/>
            </w:pPr>
            <w:r w:rsidRPr="00094826">
              <w:t xml:space="preserve">Lub </w:t>
            </w:r>
          </w:p>
          <w:p w14:paraId="5107B7AD" w14:textId="77777777" w:rsidR="003A3CB4" w:rsidRPr="00017031" w:rsidRDefault="003A3CB4" w:rsidP="000358A9">
            <w:pPr>
              <w:autoSpaceDE w:val="0"/>
              <w:autoSpaceDN w:val="0"/>
              <w:adjustRightInd w:val="0"/>
              <w:spacing w:before="0" w:after="0" w:line="240" w:lineRule="auto"/>
              <w:jc w:val="left"/>
              <w:rPr>
                <w:sz w:val="22"/>
                <w:szCs w:val="22"/>
              </w:rPr>
            </w:pPr>
            <w:r w:rsidRPr="00094826">
              <w:t>PN-EN ISO 21877:2020-03</w:t>
            </w:r>
          </w:p>
        </w:tc>
      </w:tr>
      <w:tr w:rsidR="003A3CB4" w:rsidRPr="00017031" w14:paraId="7C217E92" w14:textId="77777777" w:rsidTr="000358A9">
        <w:tc>
          <w:tcPr>
            <w:tcW w:w="846" w:type="dxa"/>
          </w:tcPr>
          <w:p w14:paraId="146047E3" w14:textId="77777777" w:rsidR="003A3CB4" w:rsidRPr="00017031" w:rsidRDefault="003A3CB4" w:rsidP="000358A9">
            <w:pPr>
              <w:pStyle w:val="Akapitzlist"/>
              <w:autoSpaceDE w:val="0"/>
              <w:autoSpaceDN w:val="0"/>
              <w:adjustRightInd w:val="0"/>
              <w:spacing w:before="0" w:after="0" w:line="240" w:lineRule="auto"/>
              <w:ind w:left="360"/>
              <w:jc w:val="left"/>
              <w:rPr>
                <w:sz w:val="22"/>
                <w:szCs w:val="22"/>
              </w:rPr>
            </w:pPr>
          </w:p>
        </w:tc>
        <w:tc>
          <w:tcPr>
            <w:tcW w:w="4252" w:type="dxa"/>
          </w:tcPr>
          <w:p w14:paraId="4CB29260" w14:textId="77777777" w:rsidR="003A3CB4" w:rsidRPr="00017031" w:rsidRDefault="003A3CB4" w:rsidP="000358A9">
            <w:pPr>
              <w:autoSpaceDE w:val="0"/>
              <w:autoSpaceDN w:val="0"/>
              <w:adjustRightInd w:val="0"/>
              <w:spacing w:before="0" w:after="0" w:line="240" w:lineRule="auto"/>
              <w:jc w:val="left"/>
              <w:rPr>
                <w:sz w:val="22"/>
                <w:szCs w:val="22"/>
              </w:rPr>
            </w:pPr>
          </w:p>
        </w:tc>
        <w:tc>
          <w:tcPr>
            <w:tcW w:w="3964" w:type="dxa"/>
          </w:tcPr>
          <w:p w14:paraId="79A64E94" w14:textId="77777777" w:rsidR="003A3CB4" w:rsidRPr="00017031" w:rsidRDefault="003A3CB4" w:rsidP="000358A9">
            <w:pPr>
              <w:autoSpaceDE w:val="0"/>
              <w:autoSpaceDN w:val="0"/>
              <w:adjustRightInd w:val="0"/>
              <w:spacing w:before="0" w:after="0" w:line="240" w:lineRule="auto"/>
              <w:jc w:val="left"/>
              <w:rPr>
                <w:sz w:val="22"/>
                <w:szCs w:val="22"/>
              </w:rPr>
            </w:pPr>
          </w:p>
        </w:tc>
      </w:tr>
      <w:tr w:rsidR="003A3CB4" w:rsidRPr="00017031" w14:paraId="431FFBB1" w14:textId="77777777" w:rsidTr="000358A9">
        <w:tc>
          <w:tcPr>
            <w:tcW w:w="846" w:type="dxa"/>
          </w:tcPr>
          <w:p w14:paraId="2C019C27"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tcPr>
          <w:p w14:paraId="54D05A69"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Metale ciężkie i ich związki wyrażone jako metal:</w:t>
            </w:r>
          </w:p>
        </w:tc>
        <w:tc>
          <w:tcPr>
            <w:tcW w:w="3964" w:type="dxa"/>
          </w:tcPr>
          <w:p w14:paraId="58294A9B" w14:textId="77777777" w:rsidR="003A3CB4" w:rsidRPr="00017031" w:rsidRDefault="003A3CB4" w:rsidP="000358A9">
            <w:pPr>
              <w:autoSpaceDE w:val="0"/>
              <w:autoSpaceDN w:val="0"/>
              <w:adjustRightInd w:val="0"/>
              <w:spacing w:before="0" w:after="0" w:line="240" w:lineRule="auto"/>
              <w:jc w:val="left"/>
              <w:rPr>
                <w:sz w:val="22"/>
                <w:szCs w:val="22"/>
              </w:rPr>
            </w:pPr>
          </w:p>
        </w:tc>
      </w:tr>
      <w:tr w:rsidR="003A3CB4" w:rsidRPr="00017031" w14:paraId="1BB3CF08" w14:textId="77777777" w:rsidTr="000358A9">
        <w:tc>
          <w:tcPr>
            <w:tcW w:w="846" w:type="dxa"/>
          </w:tcPr>
          <w:p w14:paraId="3D0797E8"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675B7A9E"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Kadm + Tal</w:t>
            </w:r>
          </w:p>
        </w:tc>
        <w:tc>
          <w:tcPr>
            <w:tcW w:w="3964" w:type="dxa"/>
            <w:vAlign w:val="center"/>
          </w:tcPr>
          <w:p w14:paraId="3B7BE959"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14385:2005</w:t>
            </w:r>
          </w:p>
        </w:tc>
      </w:tr>
      <w:tr w:rsidR="003A3CB4" w:rsidRPr="00017031" w14:paraId="54E50F83" w14:textId="77777777" w:rsidTr="000358A9">
        <w:tc>
          <w:tcPr>
            <w:tcW w:w="846" w:type="dxa"/>
          </w:tcPr>
          <w:p w14:paraId="5C1A1542"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6FAE7D62"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Rtęć</w:t>
            </w:r>
          </w:p>
        </w:tc>
        <w:tc>
          <w:tcPr>
            <w:tcW w:w="3964" w:type="dxa"/>
            <w:vAlign w:val="center"/>
          </w:tcPr>
          <w:p w14:paraId="140D14D6"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 xml:space="preserve">PN-EN 13211:2006 lub </w:t>
            </w:r>
            <w:r w:rsidRPr="00017031">
              <w:rPr>
                <w:sz w:val="22"/>
                <w:szCs w:val="22"/>
              </w:rPr>
              <w:br/>
              <w:t>metoda instrumentalna zgodna z normą PN-EN 14884 rozszerzona o oznaczenie Hg w fazie stałej zgodnie z normą PN-EN 13211</w:t>
            </w:r>
          </w:p>
        </w:tc>
      </w:tr>
      <w:tr w:rsidR="003A3CB4" w:rsidRPr="00017031" w14:paraId="45CFE848" w14:textId="77777777" w:rsidTr="000358A9">
        <w:tc>
          <w:tcPr>
            <w:tcW w:w="846" w:type="dxa"/>
          </w:tcPr>
          <w:p w14:paraId="7290F026"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vAlign w:val="center"/>
          </w:tcPr>
          <w:p w14:paraId="3D59E0A9" w14:textId="77777777" w:rsidR="003A3CB4" w:rsidRPr="00017031" w:rsidRDefault="003A3CB4" w:rsidP="000358A9">
            <w:pPr>
              <w:autoSpaceDE w:val="0"/>
              <w:autoSpaceDN w:val="0"/>
              <w:adjustRightInd w:val="0"/>
              <w:spacing w:before="0" w:after="0" w:line="240" w:lineRule="auto"/>
              <w:jc w:val="left"/>
              <w:rPr>
                <w:sz w:val="22"/>
                <w:szCs w:val="22"/>
              </w:rPr>
            </w:pPr>
            <w:proofErr w:type="spellStart"/>
            <w:r w:rsidRPr="00017031">
              <w:rPr>
                <w:sz w:val="22"/>
                <w:szCs w:val="22"/>
              </w:rPr>
              <w:t>Sb+As+Pb+Cr+Co+Cu+Mn+Ni+V</w:t>
            </w:r>
            <w:proofErr w:type="spellEnd"/>
          </w:p>
        </w:tc>
        <w:tc>
          <w:tcPr>
            <w:tcW w:w="3964" w:type="dxa"/>
            <w:vAlign w:val="center"/>
          </w:tcPr>
          <w:p w14:paraId="3C0C7ACD"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14385:2005</w:t>
            </w:r>
          </w:p>
        </w:tc>
      </w:tr>
      <w:tr w:rsidR="003A3CB4" w:rsidRPr="00017031" w14:paraId="55367A91" w14:textId="77777777" w:rsidTr="000358A9">
        <w:tc>
          <w:tcPr>
            <w:tcW w:w="846" w:type="dxa"/>
          </w:tcPr>
          <w:p w14:paraId="540EFBE1"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tcPr>
          <w:p w14:paraId="5DE1CBE4"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Dioksyny i furany (PCDD/F)</w:t>
            </w:r>
          </w:p>
        </w:tc>
        <w:tc>
          <w:tcPr>
            <w:tcW w:w="3964" w:type="dxa"/>
            <w:vAlign w:val="center"/>
          </w:tcPr>
          <w:p w14:paraId="3A57CBE9"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PN-EN 1948-1÷3:2006</w:t>
            </w:r>
          </w:p>
        </w:tc>
      </w:tr>
      <w:tr w:rsidR="003A3CB4" w:rsidRPr="00017031" w14:paraId="59786E05" w14:textId="77777777" w:rsidTr="000358A9">
        <w:tc>
          <w:tcPr>
            <w:tcW w:w="846" w:type="dxa"/>
          </w:tcPr>
          <w:p w14:paraId="2608ED1C"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4252" w:type="dxa"/>
          </w:tcPr>
          <w:p w14:paraId="3F7D1C3F" w14:textId="77777777" w:rsidR="003A3CB4" w:rsidRPr="00017031" w:rsidRDefault="003A3CB4" w:rsidP="000358A9">
            <w:pPr>
              <w:spacing w:before="40" w:after="120"/>
              <w:rPr>
                <w:sz w:val="22"/>
                <w:szCs w:val="22"/>
              </w:rPr>
            </w:pPr>
            <w:r w:rsidRPr="00017031">
              <w:rPr>
                <w:sz w:val="22"/>
                <w:szCs w:val="22"/>
              </w:rPr>
              <w:t xml:space="preserve">PCDD/F + PCB – wartość graniczna </w:t>
            </w:r>
          </w:p>
        </w:tc>
        <w:tc>
          <w:tcPr>
            <w:tcW w:w="3964" w:type="dxa"/>
            <w:vAlign w:val="center"/>
          </w:tcPr>
          <w:p w14:paraId="3DB164E5"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 xml:space="preserve">PN-EN 1948-1÷3:2006 + </w:t>
            </w:r>
            <w:r w:rsidRPr="00017031">
              <w:rPr>
                <w:sz w:val="22"/>
                <w:szCs w:val="22"/>
              </w:rPr>
              <w:br/>
              <w:t>PN-EN 1948-4+A1:2014-03</w:t>
            </w:r>
          </w:p>
        </w:tc>
      </w:tr>
      <w:tr w:rsidR="003A3CB4" w:rsidRPr="00017031" w14:paraId="0107C804" w14:textId="77777777" w:rsidTr="000358A9">
        <w:tc>
          <w:tcPr>
            <w:tcW w:w="846" w:type="dxa"/>
          </w:tcPr>
          <w:p w14:paraId="7C21A4EF"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8216" w:type="dxa"/>
            <w:gridSpan w:val="2"/>
          </w:tcPr>
          <w:p w14:paraId="31C14CFA" w14:textId="77777777" w:rsidR="003A3CB4" w:rsidRPr="00017031" w:rsidRDefault="003A3CB4" w:rsidP="000358A9">
            <w:pPr>
              <w:autoSpaceDE w:val="0"/>
              <w:autoSpaceDN w:val="0"/>
              <w:adjustRightInd w:val="0"/>
              <w:spacing w:before="0" w:after="0" w:line="240" w:lineRule="auto"/>
              <w:jc w:val="left"/>
              <w:rPr>
                <w:rFonts w:eastAsiaTheme="minorHAnsi"/>
                <w:b/>
                <w:bCs/>
                <w:sz w:val="22"/>
                <w:szCs w:val="22"/>
              </w:rPr>
            </w:pPr>
            <w:r w:rsidRPr="00017031">
              <w:rPr>
                <w:rFonts w:eastAsiaTheme="minorHAnsi"/>
                <w:b/>
                <w:bCs/>
                <w:sz w:val="22"/>
                <w:szCs w:val="22"/>
              </w:rPr>
              <w:t>Zawartość niespalonych substancji w żużlach i popiołach paleniskowych</w:t>
            </w:r>
          </w:p>
          <w:p w14:paraId="5FB2D8E0" w14:textId="77777777" w:rsidR="003A3CB4" w:rsidRPr="00017031" w:rsidRDefault="003A3CB4" w:rsidP="000358A9">
            <w:pPr>
              <w:autoSpaceDE w:val="0"/>
              <w:autoSpaceDN w:val="0"/>
              <w:adjustRightInd w:val="0"/>
              <w:spacing w:before="0" w:after="0" w:line="240" w:lineRule="auto"/>
              <w:jc w:val="left"/>
              <w:rPr>
                <w:rFonts w:eastAsiaTheme="minorHAnsi"/>
                <w:b/>
                <w:bCs/>
                <w:sz w:val="22"/>
                <w:szCs w:val="22"/>
              </w:rPr>
            </w:pPr>
          </w:p>
          <w:p w14:paraId="6B370335"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 xml:space="preserve">Zawartość OWO w żużlach i popiołach paleniskowych - % wagowo – &lt;3 </w:t>
            </w:r>
          </w:p>
          <w:p w14:paraId="3882EF6E" w14:textId="77777777" w:rsidR="003A3CB4" w:rsidRPr="00017031" w:rsidRDefault="003A3CB4" w:rsidP="000358A9">
            <w:pPr>
              <w:autoSpaceDE w:val="0"/>
              <w:autoSpaceDN w:val="0"/>
              <w:adjustRightInd w:val="0"/>
              <w:spacing w:before="0" w:after="0" w:line="240" w:lineRule="auto"/>
              <w:jc w:val="left"/>
              <w:rPr>
                <w:sz w:val="22"/>
                <w:szCs w:val="22"/>
              </w:rPr>
            </w:pPr>
          </w:p>
          <w:p w14:paraId="12282D73" w14:textId="77777777" w:rsidR="003A3CB4" w:rsidRPr="00017031" w:rsidRDefault="003A3CB4" w:rsidP="000358A9">
            <w:pPr>
              <w:autoSpaceDE w:val="0"/>
              <w:autoSpaceDN w:val="0"/>
              <w:adjustRightInd w:val="0"/>
              <w:spacing w:before="0" w:after="0" w:line="240" w:lineRule="auto"/>
              <w:jc w:val="left"/>
              <w:rPr>
                <w:sz w:val="22"/>
                <w:szCs w:val="22"/>
              </w:rPr>
            </w:pPr>
            <w:r w:rsidRPr="00017031">
              <w:rPr>
                <w:sz w:val="22"/>
                <w:szCs w:val="22"/>
              </w:rPr>
              <w:t>Strata przy prażeniu żużli i popiołów paleniskowych - % wagowo -  &lt;5</w:t>
            </w:r>
          </w:p>
          <w:p w14:paraId="2A644A21"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p>
          <w:p w14:paraId="647C940D"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p>
          <w:p w14:paraId="1A489C2E"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Oznaczanie TOC: PN-EN 15936:2022-07 Gleba, odpady, uzdatnione bioodpady oraz osady ściekowe—Oznaczanie całkowitej zawartości węgla organicznego (TOC) po suchym spalaniu lub PN EN 13137:2004 (Charakteryzowanie odpadów - Oznaczanie ogólnego węgla organicznego (OWO) w odpadach, szlamach i osadach).</w:t>
            </w:r>
          </w:p>
          <w:p w14:paraId="6E9C41F0"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p>
          <w:p w14:paraId="7B9A7AFC"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Straty prażenia: PN-EN 15935:2022-01 Gleba, odpady, uzdatnione bioodpady oraz osady ściekowe — Oznaczanie strat podczas prażenia</w:t>
            </w:r>
          </w:p>
          <w:p w14:paraId="706D1DD7"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p>
          <w:p w14:paraId="251EAA88"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Poboru próbek żużla oraz popiołów paleniskowych należy dokonać zgodnie z wymaganiami opisanymi w PN-EN  14899:2006  „Charakteryzowanie  odpadów  -  Pobieranie  próbek  materiałów  - Struktura przygotowania i zastosowania planu pobierania próbek”,</w:t>
            </w:r>
          </w:p>
          <w:p w14:paraId="2480ECC3" w14:textId="77777777" w:rsidR="003A3CB4" w:rsidRPr="00017031" w:rsidRDefault="003A3CB4" w:rsidP="000358A9">
            <w:pPr>
              <w:autoSpaceDE w:val="0"/>
              <w:autoSpaceDN w:val="0"/>
              <w:adjustRightInd w:val="0"/>
              <w:spacing w:before="0" w:after="0" w:line="240" w:lineRule="auto"/>
              <w:jc w:val="left"/>
              <w:rPr>
                <w:sz w:val="22"/>
                <w:szCs w:val="22"/>
              </w:rPr>
            </w:pPr>
          </w:p>
        </w:tc>
      </w:tr>
      <w:tr w:rsidR="003A3CB4" w:rsidRPr="00017031" w14:paraId="45D6455A" w14:textId="77777777" w:rsidTr="000358A9">
        <w:tc>
          <w:tcPr>
            <w:tcW w:w="846" w:type="dxa"/>
          </w:tcPr>
          <w:p w14:paraId="2290E665" w14:textId="77777777" w:rsidR="003A3CB4" w:rsidRPr="00017031" w:rsidRDefault="003A3CB4" w:rsidP="003A3CB4">
            <w:pPr>
              <w:pStyle w:val="Akapitzlist"/>
              <w:numPr>
                <w:ilvl w:val="0"/>
                <w:numId w:val="3"/>
              </w:numPr>
              <w:autoSpaceDE w:val="0"/>
              <w:autoSpaceDN w:val="0"/>
              <w:adjustRightInd w:val="0"/>
              <w:spacing w:before="0" w:after="0" w:line="240" w:lineRule="auto"/>
              <w:jc w:val="left"/>
              <w:rPr>
                <w:sz w:val="22"/>
                <w:szCs w:val="22"/>
              </w:rPr>
            </w:pPr>
          </w:p>
        </w:tc>
        <w:tc>
          <w:tcPr>
            <w:tcW w:w="8216" w:type="dxa"/>
            <w:gridSpan w:val="2"/>
          </w:tcPr>
          <w:p w14:paraId="2BE3793A" w14:textId="77777777" w:rsidR="003A3CB4" w:rsidRPr="00017031" w:rsidRDefault="003A3CB4" w:rsidP="000358A9">
            <w:pPr>
              <w:rPr>
                <w:sz w:val="22"/>
                <w:szCs w:val="22"/>
              </w:rPr>
            </w:pPr>
            <w:r w:rsidRPr="00017031">
              <w:rPr>
                <w:sz w:val="22"/>
                <w:szCs w:val="22"/>
              </w:rPr>
              <w:t>Spełnienie warunku procesowego przebywania spalin przez 2 sek. w temperaturze ≥ 850°C</w:t>
            </w:r>
          </w:p>
          <w:p w14:paraId="50AE5E74"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Wykonawca, opracuje szczegó</w:t>
            </w:r>
            <w:r w:rsidRPr="00017031">
              <w:rPr>
                <w:rFonts w:eastAsia="ArialMT"/>
                <w:sz w:val="22"/>
                <w:szCs w:val="22"/>
              </w:rPr>
              <w:t>ł</w:t>
            </w:r>
            <w:r w:rsidRPr="00017031">
              <w:rPr>
                <w:rFonts w:eastAsiaTheme="minorHAnsi"/>
                <w:sz w:val="22"/>
                <w:szCs w:val="22"/>
              </w:rPr>
              <w:t>ow</w:t>
            </w:r>
            <w:r w:rsidRPr="00017031">
              <w:rPr>
                <w:rFonts w:eastAsia="ArialMT"/>
                <w:sz w:val="22"/>
                <w:szCs w:val="22"/>
              </w:rPr>
              <w:t xml:space="preserve">ą </w:t>
            </w:r>
            <w:r w:rsidRPr="00017031">
              <w:rPr>
                <w:rFonts w:eastAsiaTheme="minorHAnsi"/>
                <w:sz w:val="22"/>
                <w:szCs w:val="22"/>
              </w:rPr>
              <w:t>procedur</w:t>
            </w:r>
            <w:r w:rsidRPr="00017031">
              <w:rPr>
                <w:rFonts w:eastAsia="ArialMT"/>
                <w:sz w:val="22"/>
                <w:szCs w:val="22"/>
              </w:rPr>
              <w:t xml:space="preserve">ę </w:t>
            </w:r>
            <w:r w:rsidRPr="00017031">
              <w:rPr>
                <w:rFonts w:eastAsiaTheme="minorHAnsi"/>
                <w:sz w:val="22"/>
                <w:szCs w:val="22"/>
              </w:rPr>
              <w:t>i program bada</w:t>
            </w:r>
            <w:r w:rsidRPr="00017031">
              <w:rPr>
                <w:rFonts w:eastAsia="ArialMT"/>
                <w:sz w:val="22"/>
                <w:szCs w:val="22"/>
              </w:rPr>
              <w:t xml:space="preserve">ń </w:t>
            </w:r>
            <w:r w:rsidRPr="00017031">
              <w:rPr>
                <w:rFonts w:eastAsiaTheme="minorHAnsi"/>
                <w:sz w:val="22"/>
                <w:szCs w:val="22"/>
              </w:rPr>
              <w:t>dokumentuj</w:t>
            </w:r>
            <w:r w:rsidRPr="00017031">
              <w:rPr>
                <w:rFonts w:eastAsia="ArialMT"/>
                <w:sz w:val="22"/>
                <w:szCs w:val="22"/>
              </w:rPr>
              <w:t>ą</w:t>
            </w:r>
            <w:r w:rsidRPr="00017031">
              <w:rPr>
                <w:rFonts w:eastAsiaTheme="minorHAnsi"/>
                <w:sz w:val="22"/>
                <w:szCs w:val="22"/>
              </w:rPr>
              <w:t>cych wype</w:t>
            </w:r>
            <w:r w:rsidRPr="00017031">
              <w:rPr>
                <w:rFonts w:eastAsia="ArialMT"/>
                <w:sz w:val="22"/>
                <w:szCs w:val="22"/>
              </w:rPr>
              <w:t>ł</w:t>
            </w:r>
            <w:r w:rsidRPr="00017031">
              <w:rPr>
                <w:rFonts w:eastAsiaTheme="minorHAnsi"/>
                <w:sz w:val="22"/>
                <w:szCs w:val="22"/>
              </w:rPr>
              <w:t>nienie wymaga</w:t>
            </w:r>
            <w:r w:rsidRPr="00017031">
              <w:rPr>
                <w:rFonts w:eastAsia="ArialMT"/>
                <w:sz w:val="22"/>
                <w:szCs w:val="22"/>
              </w:rPr>
              <w:t xml:space="preserve">ń </w:t>
            </w:r>
            <w:r w:rsidRPr="00017031">
              <w:rPr>
                <w:rFonts w:eastAsiaTheme="minorHAnsi"/>
                <w:sz w:val="22"/>
                <w:szCs w:val="22"/>
              </w:rPr>
              <w:t>par. 2 rozporz</w:t>
            </w:r>
            <w:r w:rsidRPr="00017031">
              <w:rPr>
                <w:rFonts w:eastAsia="ArialMT"/>
                <w:sz w:val="22"/>
                <w:szCs w:val="22"/>
              </w:rPr>
              <w:t>ą</w:t>
            </w:r>
            <w:r w:rsidRPr="00017031">
              <w:rPr>
                <w:rFonts w:eastAsiaTheme="minorHAnsi"/>
                <w:sz w:val="22"/>
                <w:szCs w:val="22"/>
              </w:rPr>
              <w:t>dzenia Ministra Rozwoju z dnia 21 stycznia 2016 r. w sprawie wymaga</w:t>
            </w:r>
            <w:r w:rsidRPr="00017031">
              <w:rPr>
                <w:rFonts w:eastAsia="ArialMT"/>
                <w:sz w:val="22"/>
                <w:szCs w:val="22"/>
              </w:rPr>
              <w:t xml:space="preserve">ń </w:t>
            </w:r>
            <w:r w:rsidRPr="00017031">
              <w:rPr>
                <w:rFonts w:eastAsiaTheme="minorHAnsi"/>
                <w:sz w:val="22"/>
                <w:szCs w:val="22"/>
              </w:rPr>
              <w:t>dotycz</w:t>
            </w:r>
            <w:r w:rsidRPr="00017031">
              <w:rPr>
                <w:rFonts w:eastAsia="ArialMT"/>
                <w:sz w:val="22"/>
                <w:szCs w:val="22"/>
              </w:rPr>
              <w:t>ą</w:t>
            </w:r>
            <w:r w:rsidRPr="00017031">
              <w:rPr>
                <w:rFonts w:eastAsiaTheme="minorHAnsi"/>
                <w:sz w:val="22"/>
                <w:szCs w:val="22"/>
              </w:rPr>
              <w:t>cych prowadzenia procesu termicznego przekszta</w:t>
            </w:r>
            <w:r w:rsidRPr="00017031">
              <w:rPr>
                <w:rFonts w:eastAsia="ArialMT"/>
                <w:sz w:val="22"/>
                <w:szCs w:val="22"/>
              </w:rPr>
              <w:t>ł</w:t>
            </w:r>
            <w:r w:rsidRPr="00017031">
              <w:rPr>
                <w:rFonts w:eastAsiaTheme="minorHAnsi"/>
                <w:sz w:val="22"/>
                <w:szCs w:val="22"/>
              </w:rPr>
              <w:t>cania odpadów oraz sposobu post</w:t>
            </w:r>
            <w:r w:rsidRPr="00017031">
              <w:rPr>
                <w:rFonts w:eastAsia="ArialMT"/>
                <w:sz w:val="22"/>
                <w:szCs w:val="22"/>
              </w:rPr>
              <w:t>ę</w:t>
            </w:r>
            <w:r w:rsidRPr="00017031">
              <w:rPr>
                <w:rFonts w:eastAsiaTheme="minorHAnsi"/>
                <w:sz w:val="22"/>
                <w:szCs w:val="22"/>
              </w:rPr>
              <w:t>powania z odpadami powsta</w:t>
            </w:r>
            <w:r w:rsidRPr="00017031">
              <w:rPr>
                <w:rFonts w:eastAsia="ArialMT"/>
                <w:sz w:val="22"/>
                <w:szCs w:val="22"/>
              </w:rPr>
              <w:t>ł</w:t>
            </w:r>
            <w:r w:rsidRPr="00017031">
              <w:rPr>
                <w:rFonts w:eastAsiaTheme="minorHAnsi"/>
                <w:sz w:val="22"/>
                <w:szCs w:val="22"/>
              </w:rPr>
              <w:t>ymi w wyniku tego procesu (Dz. U. z 2016 r. poz. 108) i uzgodni j</w:t>
            </w:r>
            <w:r w:rsidRPr="00017031">
              <w:rPr>
                <w:rFonts w:eastAsia="ArialMT"/>
                <w:sz w:val="22"/>
                <w:szCs w:val="22"/>
              </w:rPr>
              <w:t xml:space="preserve">ą </w:t>
            </w:r>
            <w:r w:rsidRPr="00017031">
              <w:rPr>
                <w:rFonts w:eastAsiaTheme="minorHAnsi"/>
                <w:sz w:val="22"/>
                <w:szCs w:val="22"/>
              </w:rPr>
              <w:t>z In</w:t>
            </w:r>
            <w:r w:rsidRPr="00017031">
              <w:rPr>
                <w:rFonts w:eastAsia="ArialMT"/>
                <w:sz w:val="22"/>
                <w:szCs w:val="22"/>
              </w:rPr>
              <w:t>ż</w:t>
            </w:r>
            <w:r w:rsidRPr="00017031">
              <w:rPr>
                <w:rFonts w:eastAsiaTheme="minorHAnsi"/>
                <w:sz w:val="22"/>
                <w:szCs w:val="22"/>
              </w:rPr>
              <w:t>ynierem Kontraktu a nast</w:t>
            </w:r>
            <w:r w:rsidRPr="00017031">
              <w:rPr>
                <w:rFonts w:eastAsia="ArialMT"/>
                <w:sz w:val="22"/>
                <w:szCs w:val="22"/>
              </w:rPr>
              <w:t>ę</w:t>
            </w:r>
            <w:r w:rsidRPr="00017031">
              <w:rPr>
                <w:rFonts w:eastAsiaTheme="minorHAnsi"/>
                <w:sz w:val="22"/>
                <w:szCs w:val="22"/>
              </w:rPr>
              <w:t>pnie uzyska pozytywn</w:t>
            </w:r>
            <w:r w:rsidRPr="00017031">
              <w:rPr>
                <w:rFonts w:eastAsia="ArialMT"/>
                <w:sz w:val="22"/>
                <w:szCs w:val="22"/>
              </w:rPr>
              <w:t xml:space="preserve">ą </w:t>
            </w:r>
            <w:r w:rsidRPr="00017031">
              <w:rPr>
                <w:rFonts w:eastAsiaTheme="minorHAnsi"/>
                <w:sz w:val="22"/>
                <w:szCs w:val="22"/>
              </w:rPr>
              <w:t>opini</w:t>
            </w:r>
            <w:r w:rsidRPr="00017031">
              <w:rPr>
                <w:rFonts w:eastAsia="ArialMT"/>
                <w:sz w:val="22"/>
                <w:szCs w:val="22"/>
              </w:rPr>
              <w:t xml:space="preserve">ę </w:t>
            </w:r>
            <w:r w:rsidRPr="00017031">
              <w:rPr>
                <w:rFonts w:eastAsiaTheme="minorHAnsi"/>
                <w:sz w:val="22"/>
                <w:szCs w:val="22"/>
              </w:rPr>
              <w:t>Niezale</w:t>
            </w:r>
            <w:r w:rsidRPr="00017031">
              <w:rPr>
                <w:rFonts w:eastAsia="ArialMT"/>
                <w:sz w:val="22"/>
                <w:szCs w:val="22"/>
              </w:rPr>
              <w:t>ż</w:t>
            </w:r>
            <w:r w:rsidRPr="00017031">
              <w:rPr>
                <w:rFonts w:eastAsiaTheme="minorHAnsi"/>
                <w:sz w:val="22"/>
                <w:szCs w:val="22"/>
              </w:rPr>
              <w:t>nej Instytucji wskazanej przez Zamawiaj</w:t>
            </w:r>
            <w:r w:rsidRPr="00017031">
              <w:rPr>
                <w:rFonts w:eastAsia="ArialMT"/>
                <w:sz w:val="22"/>
                <w:szCs w:val="22"/>
              </w:rPr>
              <w:t>ą</w:t>
            </w:r>
            <w:r w:rsidRPr="00017031">
              <w:rPr>
                <w:rFonts w:eastAsiaTheme="minorHAnsi"/>
                <w:sz w:val="22"/>
                <w:szCs w:val="22"/>
              </w:rPr>
              <w:t>cego. Procedura ta zostanie zaimplementowana w systemie DCS oraz b</w:t>
            </w:r>
            <w:r w:rsidRPr="00017031">
              <w:rPr>
                <w:rFonts w:eastAsia="ArialMT"/>
                <w:sz w:val="22"/>
                <w:szCs w:val="22"/>
              </w:rPr>
              <w:t>ę</w:t>
            </w:r>
            <w:r w:rsidRPr="00017031">
              <w:rPr>
                <w:rFonts w:eastAsiaTheme="minorHAnsi"/>
                <w:sz w:val="22"/>
                <w:szCs w:val="22"/>
              </w:rPr>
              <w:t>dzie stanowi</w:t>
            </w:r>
            <w:r w:rsidRPr="00017031">
              <w:rPr>
                <w:rFonts w:eastAsia="ArialMT"/>
                <w:sz w:val="22"/>
                <w:szCs w:val="22"/>
              </w:rPr>
              <w:t>ł</w:t>
            </w:r>
            <w:r w:rsidRPr="00017031">
              <w:rPr>
                <w:rFonts w:eastAsiaTheme="minorHAnsi"/>
                <w:sz w:val="22"/>
                <w:szCs w:val="22"/>
              </w:rPr>
              <w:t>a</w:t>
            </w:r>
          </w:p>
          <w:p w14:paraId="4C6A690F"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podstaw</w:t>
            </w:r>
            <w:r w:rsidRPr="00017031">
              <w:rPr>
                <w:rFonts w:eastAsia="ArialMT"/>
                <w:sz w:val="22"/>
                <w:szCs w:val="22"/>
              </w:rPr>
              <w:t xml:space="preserve">ę </w:t>
            </w:r>
            <w:r w:rsidRPr="00017031">
              <w:rPr>
                <w:rFonts w:eastAsiaTheme="minorHAnsi"/>
                <w:sz w:val="22"/>
                <w:szCs w:val="22"/>
              </w:rPr>
              <w:t>do oceny spe</w:t>
            </w:r>
            <w:r w:rsidRPr="00017031">
              <w:rPr>
                <w:rFonts w:eastAsia="ArialMT"/>
                <w:sz w:val="22"/>
                <w:szCs w:val="22"/>
              </w:rPr>
              <w:t>ł</w:t>
            </w:r>
            <w:r w:rsidRPr="00017031">
              <w:rPr>
                <w:rFonts w:eastAsiaTheme="minorHAnsi"/>
                <w:sz w:val="22"/>
                <w:szCs w:val="22"/>
              </w:rPr>
              <w:t xml:space="preserve">nienia tego warunku procesowego. </w:t>
            </w:r>
          </w:p>
          <w:p w14:paraId="294D4F99"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Wykonawca zobowiązany jest do wykonania układu pomiarowego zgodnie z powyższym rozporządzaniem. Układ pomiarowy będzie realizował pomiary na potrzeby oceny spełnienia przebywania spalin przez 2 sek. w temperaturze ≥ 850°C</w:t>
            </w:r>
          </w:p>
          <w:p w14:paraId="15F370AF"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r w:rsidRPr="00017031">
              <w:rPr>
                <w:rFonts w:eastAsiaTheme="minorHAnsi"/>
                <w:sz w:val="22"/>
                <w:szCs w:val="22"/>
              </w:rPr>
              <w:t>Zamawiaj</w:t>
            </w:r>
            <w:r w:rsidRPr="00017031">
              <w:rPr>
                <w:rFonts w:eastAsia="ArialMT"/>
                <w:sz w:val="22"/>
                <w:szCs w:val="22"/>
              </w:rPr>
              <w:t>ą</w:t>
            </w:r>
            <w:r w:rsidRPr="00017031">
              <w:rPr>
                <w:rFonts w:eastAsiaTheme="minorHAnsi"/>
                <w:sz w:val="22"/>
                <w:szCs w:val="22"/>
              </w:rPr>
              <w:t>cy wymaga, aby do oceny spe</w:t>
            </w:r>
            <w:r w:rsidRPr="00017031">
              <w:rPr>
                <w:rFonts w:eastAsia="ArialMT"/>
                <w:sz w:val="22"/>
                <w:szCs w:val="22"/>
              </w:rPr>
              <w:t>ł</w:t>
            </w:r>
            <w:r w:rsidRPr="00017031">
              <w:rPr>
                <w:rFonts w:eastAsiaTheme="minorHAnsi"/>
                <w:sz w:val="22"/>
                <w:szCs w:val="22"/>
              </w:rPr>
              <w:t>nienia tego warunku przyjmowano wyniki pomiaru temperatury jako warto</w:t>
            </w:r>
            <w:r w:rsidRPr="00017031">
              <w:rPr>
                <w:rFonts w:eastAsia="ArialMT"/>
                <w:sz w:val="22"/>
                <w:szCs w:val="22"/>
              </w:rPr>
              <w:t>ś</w:t>
            </w:r>
            <w:r w:rsidRPr="00017031">
              <w:rPr>
                <w:rFonts w:eastAsiaTheme="minorHAnsi"/>
                <w:sz w:val="22"/>
                <w:szCs w:val="22"/>
              </w:rPr>
              <w:t xml:space="preserve">ci </w:t>
            </w:r>
            <w:r w:rsidRPr="00017031">
              <w:rPr>
                <w:rFonts w:eastAsia="ArialMT"/>
                <w:sz w:val="22"/>
                <w:szCs w:val="22"/>
              </w:rPr>
              <w:t>ś</w:t>
            </w:r>
            <w:r w:rsidRPr="00017031">
              <w:rPr>
                <w:rFonts w:eastAsiaTheme="minorHAnsi"/>
                <w:sz w:val="22"/>
                <w:szCs w:val="22"/>
              </w:rPr>
              <w:t>redniej dziesi</w:t>
            </w:r>
            <w:r w:rsidRPr="00017031">
              <w:rPr>
                <w:rFonts w:eastAsia="ArialMT"/>
                <w:sz w:val="22"/>
                <w:szCs w:val="22"/>
              </w:rPr>
              <w:t>ę</w:t>
            </w:r>
            <w:r w:rsidRPr="00017031">
              <w:rPr>
                <w:rFonts w:eastAsiaTheme="minorHAnsi"/>
                <w:sz w:val="22"/>
                <w:szCs w:val="22"/>
              </w:rPr>
              <w:t>ciominutowej a pomiary dokumentuj</w:t>
            </w:r>
            <w:r w:rsidRPr="00017031">
              <w:rPr>
                <w:rFonts w:eastAsia="ArialMT"/>
                <w:sz w:val="22"/>
                <w:szCs w:val="22"/>
              </w:rPr>
              <w:t>ą</w:t>
            </w:r>
            <w:r w:rsidRPr="00017031">
              <w:rPr>
                <w:rFonts w:eastAsiaTheme="minorHAnsi"/>
                <w:sz w:val="22"/>
                <w:szCs w:val="22"/>
              </w:rPr>
              <w:t>ce wype</w:t>
            </w:r>
            <w:r w:rsidRPr="00017031">
              <w:rPr>
                <w:rFonts w:eastAsia="ArialMT"/>
                <w:sz w:val="22"/>
                <w:szCs w:val="22"/>
              </w:rPr>
              <w:t>ł</w:t>
            </w:r>
            <w:r w:rsidRPr="00017031">
              <w:rPr>
                <w:rFonts w:eastAsiaTheme="minorHAnsi"/>
                <w:sz w:val="22"/>
                <w:szCs w:val="22"/>
              </w:rPr>
              <w:t>nienie tego warunku prowadzone by</w:t>
            </w:r>
            <w:r w:rsidRPr="00017031">
              <w:rPr>
                <w:rFonts w:eastAsia="ArialMT"/>
                <w:sz w:val="22"/>
                <w:szCs w:val="22"/>
              </w:rPr>
              <w:t>ł</w:t>
            </w:r>
            <w:r w:rsidRPr="00017031">
              <w:rPr>
                <w:rFonts w:eastAsiaTheme="minorHAnsi"/>
                <w:sz w:val="22"/>
                <w:szCs w:val="22"/>
              </w:rPr>
              <w:t>y we wszystkich stanach pracy paleniskach w ustalonych (stabilnych) warunkach funkcjonowania instalacji.</w:t>
            </w:r>
          </w:p>
          <w:p w14:paraId="3736A3B8" w14:textId="77777777" w:rsidR="003A3CB4" w:rsidRPr="00017031" w:rsidRDefault="003A3CB4" w:rsidP="000358A9">
            <w:pPr>
              <w:autoSpaceDE w:val="0"/>
              <w:autoSpaceDN w:val="0"/>
              <w:adjustRightInd w:val="0"/>
              <w:spacing w:before="0" w:after="0" w:line="240" w:lineRule="auto"/>
              <w:jc w:val="left"/>
              <w:rPr>
                <w:rFonts w:eastAsiaTheme="minorHAnsi"/>
                <w:sz w:val="22"/>
                <w:szCs w:val="22"/>
              </w:rPr>
            </w:pPr>
          </w:p>
          <w:p w14:paraId="4633A1E2" w14:textId="77777777" w:rsidR="003A3CB4" w:rsidRPr="00017031" w:rsidRDefault="003A3CB4" w:rsidP="000358A9">
            <w:pPr>
              <w:autoSpaceDE w:val="0"/>
              <w:autoSpaceDN w:val="0"/>
              <w:adjustRightInd w:val="0"/>
              <w:spacing w:before="0" w:after="0" w:line="240" w:lineRule="auto"/>
              <w:jc w:val="left"/>
              <w:rPr>
                <w:sz w:val="22"/>
                <w:szCs w:val="22"/>
              </w:rPr>
            </w:pPr>
          </w:p>
        </w:tc>
      </w:tr>
    </w:tbl>
    <w:p w14:paraId="0AD8CB92" w14:textId="77777777" w:rsidR="000373C3" w:rsidRDefault="000373C3"/>
    <w:sectPr w:rsidR="00037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MT">
    <w:altName w:val="Arial"/>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53020"/>
    <w:multiLevelType w:val="hybridMultilevel"/>
    <w:tmpl w:val="E1980E4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781D49F1"/>
    <w:multiLevelType w:val="hybridMultilevel"/>
    <w:tmpl w:val="7974B274"/>
    <w:lvl w:ilvl="0" w:tplc="B280687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7A0736F6"/>
    <w:multiLevelType w:val="singleLevel"/>
    <w:tmpl w:val="04150017"/>
    <w:lvl w:ilvl="0">
      <w:start w:val="1"/>
      <w:numFmt w:val="lowerLetter"/>
      <w:pStyle w:val="Listapunktowana"/>
      <w:lvlText w:val="%1)"/>
      <w:lvlJc w:val="left"/>
      <w:pPr>
        <w:tabs>
          <w:tab w:val="num" w:pos="360"/>
        </w:tabs>
        <w:ind w:left="360" w:hanging="360"/>
      </w:pPr>
    </w:lvl>
  </w:abstractNum>
  <w:num w:numId="1" w16cid:durableId="102115702">
    <w:abstractNumId w:val="1"/>
  </w:num>
  <w:num w:numId="2" w16cid:durableId="1245338213">
    <w:abstractNumId w:val="2"/>
  </w:num>
  <w:num w:numId="3" w16cid:durableId="737900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37"/>
    <w:rsid w:val="000373C3"/>
    <w:rsid w:val="003A3CB4"/>
    <w:rsid w:val="003A4273"/>
    <w:rsid w:val="00463137"/>
    <w:rsid w:val="004902C5"/>
    <w:rsid w:val="005F2ECC"/>
    <w:rsid w:val="0069326C"/>
    <w:rsid w:val="006A553A"/>
    <w:rsid w:val="006E5A5B"/>
    <w:rsid w:val="00781F05"/>
    <w:rsid w:val="007A1F57"/>
    <w:rsid w:val="008C6260"/>
    <w:rsid w:val="009742EB"/>
    <w:rsid w:val="00B34D93"/>
    <w:rsid w:val="00BA7835"/>
    <w:rsid w:val="00CB7743"/>
    <w:rsid w:val="00CD4842"/>
    <w:rsid w:val="00E50477"/>
    <w:rsid w:val="00E56585"/>
    <w:rsid w:val="00F31CE1"/>
    <w:rsid w:val="00F3352D"/>
    <w:rsid w:val="00F9788C"/>
    <w:rsid w:val="00FA00FC"/>
    <w:rsid w:val="00FB40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656F5"/>
  <w15:chartTrackingRefBased/>
  <w15:docId w15:val="{E26C7A2F-A880-4500-98B8-FA7357EC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3137"/>
    <w:pPr>
      <w:spacing w:before="240" w:after="280" w:line="360" w:lineRule="auto"/>
      <w:jc w:val="both"/>
    </w:pPr>
    <w:rPr>
      <w:rFonts w:ascii="Arial" w:eastAsia="Calibri" w:hAnsi="Arial" w:cs="Arial"/>
    </w:rPr>
  </w:style>
  <w:style w:type="paragraph" w:styleId="Nagwek1">
    <w:name w:val="heading 1"/>
    <w:basedOn w:val="Normalny"/>
    <w:next w:val="Normalny"/>
    <w:link w:val="Nagwek1Znak"/>
    <w:qFormat/>
    <w:rsid w:val="004631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4631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46313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46313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46313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46313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6313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6313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6313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6313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6313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6313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6313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63137"/>
    <w:rPr>
      <w:rFonts w:eastAsiaTheme="majorEastAsia" w:cstheme="majorBidi"/>
      <w:color w:val="0F4761" w:themeColor="accent1" w:themeShade="BF"/>
    </w:rPr>
  </w:style>
  <w:style w:type="character" w:customStyle="1" w:styleId="Nagwek6Znak">
    <w:name w:val="Nagłówek 6 Znak"/>
    <w:basedOn w:val="Domylnaczcionkaakapitu"/>
    <w:link w:val="Nagwek6"/>
    <w:rsid w:val="0046313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6313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6313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63137"/>
    <w:rPr>
      <w:rFonts w:eastAsiaTheme="majorEastAsia" w:cstheme="majorBidi"/>
      <w:color w:val="272727" w:themeColor="text1" w:themeTint="D8"/>
    </w:rPr>
  </w:style>
  <w:style w:type="paragraph" w:styleId="Tytu">
    <w:name w:val="Title"/>
    <w:basedOn w:val="Normalny"/>
    <w:next w:val="Normalny"/>
    <w:link w:val="TytuZnak"/>
    <w:uiPriority w:val="10"/>
    <w:qFormat/>
    <w:rsid w:val="004631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6313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6313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6313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63137"/>
    <w:pPr>
      <w:spacing w:before="160"/>
      <w:jc w:val="center"/>
    </w:pPr>
    <w:rPr>
      <w:i/>
      <w:iCs/>
      <w:color w:val="404040" w:themeColor="text1" w:themeTint="BF"/>
    </w:rPr>
  </w:style>
  <w:style w:type="character" w:customStyle="1" w:styleId="CytatZnak">
    <w:name w:val="Cytat Znak"/>
    <w:basedOn w:val="Domylnaczcionkaakapitu"/>
    <w:link w:val="Cytat"/>
    <w:uiPriority w:val="29"/>
    <w:rsid w:val="00463137"/>
    <w:rPr>
      <w:i/>
      <w:iCs/>
      <w:color w:val="404040" w:themeColor="text1" w:themeTint="BF"/>
    </w:rPr>
  </w:style>
  <w:style w:type="paragraph" w:styleId="Akapitzlist">
    <w:name w:val="List Paragraph"/>
    <w:aliases w:val="Normal,2. Sap_1.1,RYSUNEK,Lista Wypunktowana,Akapit z listą3,Akapit z listą2,PZI-AK_LISTA,Przypis,EST_akapit z listą,Nagłowek 3,List bullet 2,Akapit z listą;1_literowka,Literowanie,1_literowka,Akapit z listą31,Wypunktowanie,Normal1"/>
    <w:basedOn w:val="Normalny"/>
    <w:link w:val="AkapitzlistZnak"/>
    <w:uiPriority w:val="34"/>
    <w:qFormat/>
    <w:rsid w:val="00463137"/>
    <w:pPr>
      <w:ind w:left="720"/>
      <w:contextualSpacing/>
    </w:pPr>
  </w:style>
  <w:style w:type="character" w:styleId="Wyrnienieintensywne">
    <w:name w:val="Intense Emphasis"/>
    <w:basedOn w:val="Domylnaczcionkaakapitu"/>
    <w:uiPriority w:val="21"/>
    <w:qFormat/>
    <w:rsid w:val="00463137"/>
    <w:rPr>
      <w:i/>
      <w:iCs/>
      <w:color w:val="0F4761" w:themeColor="accent1" w:themeShade="BF"/>
    </w:rPr>
  </w:style>
  <w:style w:type="paragraph" w:styleId="Cytatintensywny">
    <w:name w:val="Intense Quote"/>
    <w:basedOn w:val="Normalny"/>
    <w:next w:val="Normalny"/>
    <w:link w:val="CytatintensywnyZnak"/>
    <w:uiPriority w:val="30"/>
    <w:qFormat/>
    <w:rsid w:val="004631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63137"/>
    <w:rPr>
      <w:i/>
      <w:iCs/>
      <w:color w:val="0F4761" w:themeColor="accent1" w:themeShade="BF"/>
    </w:rPr>
  </w:style>
  <w:style w:type="character" w:styleId="Odwoanieintensywne">
    <w:name w:val="Intense Reference"/>
    <w:basedOn w:val="Domylnaczcionkaakapitu"/>
    <w:uiPriority w:val="32"/>
    <w:qFormat/>
    <w:rsid w:val="00463137"/>
    <w:rPr>
      <w:b/>
      <w:bCs/>
      <w:smallCaps/>
      <w:color w:val="0F4761" w:themeColor="accent1" w:themeShade="BF"/>
      <w:spacing w:val="5"/>
    </w:rPr>
  </w:style>
  <w:style w:type="character" w:customStyle="1" w:styleId="AkapitzlistZnak">
    <w:name w:val="Akapit z listą Znak"/>
    <w:aliases w:val="Normal Znak,2. Sap_1.1 Znak,RYSUNEK Znak,Lista Wypunktowana Znak,Akapit z listą3 Znak,Akapit z listą2 Znak,PZI-AK_LISTA Znak,Przypis Znak,EST_akapit z listą Znak,Nagłowek 3 Znak,List bullet 2 Znak,Akapit z listą;1_literowka Znak"/>
    <w:basedOn w:val="Domylnaczcionkaakapitu"/>
    <w:link w:val="Akapitzlist"/>
    <w:uiPriority w:val="34"/>
    <w:qFormat/>
    <w:rsid w:val="00463137"/>
  </w:style>
  <w:style w:type="table" w:styleId="Tabela-Siatka">
    <w:name w:val="Table Grid"/>
    <w:aliases w:val="Table long document"/>
    <w:basedOn w:val="Standardowy"/>
    <w:uiPriority w:val="39"/>
    <w:rsid w:val="00463137"/>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463137"/>
    <w:rPr>
      <w:sz w:val="16"/>
      <w:szCs w:val="16"/>
    </w:rPr>
  </w:style>
  <w:style w:type="paragraph" w:styleId="Tekstkomentarza">
    <w:name w:val="annotation text"/>
    <w:basedOn w:val="Normalny"/>
    <w:link w:val="TekstkomentarzaZnak"/>
    <w:uiPriority w:val="99"/>
    <w:rsid w:val="00463137"/>
    <w:pPr>
      <w:widowControl w:val="0"/>
      <w:spacing w:before="80" w:after="0" w:line="276" w:lineRule="auto"/>
    </w:pPr>
    <w:rPr>
      <w:rFonts w:eastAsia="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63137"/>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463137"/>
    <w:pPr>
      <w:widowControl w:val="0"/>
      <w:spacing w:before="80" w:after="120" w:line="276" w:lineRule="auto"/>
      <w:ind w:left="283"/>
    </w:pPr>
    <w:rPr>
      <w:rFonts w:eastAsia="Times New Roman" w:cs="Times New Roman"/>
      <w:szCs w:val="20"/>
      <w:lang w:eastAsia="pl-PL"/>
    </w:rPr>
  </w:style>
  <w:style w:type="character" w:customStyle="1" w:styleId="TekstpodstawowywcityZnak">
    <w:name w:val="Tekst podstawowy wcięty Znak"/>
    <w:basedOn w:val="Domylnaczcionkaakapitu"/>
    <w:link w:val="Tekstpodstawowywcity"/>
    <w:rsid w:val="00463137"/>
    <w:rPr>
      <w:rFonts w:ascii="Arial" w:eastAsia="Times New Roman" w:hAnsi="Arial" w:cs="Times New Roman"/>
      <w:szCs w:val="20"/>
      <w:lang w:eastAsia="pl-PL"/>
    </w:rPr>
  </w:style>
  <w:style w:type="paragraph" w:styleId="Listapunktowana">
    <w:name w:val="List Bullet"/>
    <w:basedOn w:val="Normalny"/>
    <w:autoRedefine/>
    <w:rsid w:val="00463137"/>
    <w:pPr>
      <w:widowControl w:val="0"/>
      <w:numPr>
        <w:numId w:val="2"/>
      </w:numPr>
      <w:spacing w:before="80" w:after="0" w:line="276" w:lineRule="auto"/>
    </w:pPr>
    <w:rPr>
      <w:rFonts w:eastAsia="Times New Roman" w:cs="Times New Roman"/>
      <w:b/>
      <w:i/>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uiPriority w:val="35"/>
    <w:rsid w:val="003A3CB4"/>
    <w:pPr>
      <w:spacing w:before="0" w:after="0" w:line="276" w:lineRule="auto"/>
    </w:pPr>
    <w:rPr>
      <w:rFonts w:ascii="Calibri" w:eastAsia="Times New Roman" w:hAnsi="Calibri" w:cs="Times New Roman"/>
      <w:b/>
      <w:bCs/>
      <w:szCs w:val="20"/>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uiPriority w:val="35"/>
    <w:rsid w:val="003A3CB4"/>
    <w:rPr>
      <w:rFonts w:ascii="Calibri" w:eastAsia="Times New Roman" w:hAnsi="Calibri" w:cs="Times New Roman"/>
      <w:b/>
      <w:bCs/>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854</Words>
  <Characters>5129</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Skowron Wiktor</dc:creator>
  <cp:keywords/>
  <dc:description/>
  <cp:lastModifiedBy>Marcin Olczak</cp:lastModifiedBy>
  <cp:revision>3</cp:revision>
  <dcterms:created xsi:type="dcterms:W3CDTF">2024-12-20T11:05:00Z</dcterms:created>
  <dcterms:modified xsi:type="dcterms:W3CDTF">2024-12-20T11:06:00Z</dcterms:modified>
</cp:coreProperties>
</file>