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6FA4DA95" w14:textId="01382F9C" w:rsidR="00FF6B8C" w:rsidRPr="008714C1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>Przedsiębiors</w:t>
      </w:r>
      <w:r w:rsidR="00423A39" w:rsidRPr="008714C1">
        <w:t>two Wodociągów i Kanalizacji Spółka</w:t>
      </w:r>
      <w:r w:rsidRPr="008714C1">
        <w:t xml:space="preserve"> z o.o. </w:t>
      </w:r>
      <w:r w:rsidR="001F0AFD" w:rsidRPr="008714C1">
        <w:t xml:space="preserve">z siedzibą </w:t>
      </w:r>
      <w:r w:rsidRPr="008714C1">
        <w:t xml:space="preserve">w Kaliszu prosi </w:t>
      </w:r>
      <w:r w:rsidR="00A36DFE" w:rsidRPr="008714C1">
        <w:br/>
        <w:t>o przedstawienie</w:t>
      </w:r>
      <w:r w:rsidRPr="008714C1">
        <w:t xml:space="preserve"> </w:t>
      </w:r>
      <w:r w:rsidRPr="008714C1">
        <w:rPr>
          <w:spacing w:val="-4"/>
        </w:rPr>
        <w:t xml:space="preserve">oferty </w:t>
      </w:r>
      <w:r w:rsidR="00A36DFE" w:rsidRPr="008714C1">
        <w:rPr>
          <w:spacing w:val="-4"/>
        </w:rPr>
        <w:t>na</w:t>
      </w:r>
      <w:r w:rsidR="0083310A" w:rsidRPr="008714C1">
        <w:rPr>
          <w:spacing w:val="-4"/>
        </w:rPr>
        <w:t xml:space="preserve"> </w:t>
      </w:r>
      <w:r w:rsidR="00FF6B8C" w:rsidRPr="008714C1">
        <w:t xml:space="preserve">przebudowę sieci wodociągowej w ul. Kolegialna – Pl. Św. Józefa  – zgodnie z projektem „Projekt </w:t>
      </w:r>
      <w:r w:rsidR="008714C1" w:rsidRPr="008714C1">
        <w:t>b</w:t>
      </w:r>
      <w:r w:rsidR="00FF6B8C" w:rsidRPr="008714C1">
        <w:t>udowlany przebudowy sieci wodociągowej wraz z wymianą przyłączy wodociągowych i kanalizacji ogólnospławnej w ul. Kolegialnej, ul. Łaziennej,</w:t>
      </w:r>
      <w:r w:rsidR="00F21DCF">
        <w:br/>
      </w:r>
      <w:r w:rsidR="00FF6B8C" w:rsidRPr="008714C1">
        <w:t xml:space="preserve"> PL. Św. Józefa i Pl. Jana Pawła II</w:t>
      </w:r>
      <w:r w:rsidR="008714C1" w:rsidRPr="008714C1">
        <w:t>”</w:t>
      </w:r>
      <w:r w:rsidR="00FF6B8C" w:rsidRPr="008714C1">
        <w:t xml:space="preserve"> opracowanym przez </w:t>
      </w:r>
      <w:proofErr w:type="spellStart"/>
      <w:r w:rsidR="00FF6B8C" w:rsidRPr="008714C1">
        <w:t>PWiK</w:t>
      </w:r>
      <w:proofErr w:type="spellEnd"/>
      <w:r w:rsidR="00FF6B8C" w:rsidRPr="008714C1">
        <w:t xml:space="preserve"> Spółka z o.o. z/s w Kaliszu – październik 2020r.</w:t>
      </w:r>
    </w:p>
    <w:p w14:paraId="6A5CC0E1" w14:textId="75844DAD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59390009" w:rsidR="00E77124" w:rsidRPr="008714C1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B2478DF" w14:textId="0AE18703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przebudowy sieci wodociągowej z rur Dz125x11,4mm TS PE100RC SDR11 PN16 (rury trójwarstwowe) na odcinku od W do W5 o długości 167m zgodnie z projektem budowlanym opracowanym przez </w:t>
      </w:r>
      <w:proofErr w:type="spellStart"/>
      <w:r w:rsidRPr="008714C1">
        <w:rPr>
          <w:rFonts w:ascii="Times New Roman" w:hAnsi="Times New Roman"/>
          <w:sz w:val="24"/>
          <w:szCs w:val="24"/>
        </w:rPr>
        <w:t>PWiK</w:t>
      </w:r>
      <w:proofErr w:type="spellEnd"/>
      <w:r w:rsidRPr="008714C1">
        <w:rPr>
          <w:rFonts w:ascii="Times New Roman" w:hAnsi="Times New Roman"/>
          <w:sz w:val="24"/>
          <w:szCs w:val="24"/>
        </w:rPr>
        <w:t xml:space="preserve"> Sp. z o.o. z siedzibą w Kaliszu.</w:t>
      </w:r>
    </w:p>
    <w:p w14:paraId="313DDC2D" w14:textId="5F573E0E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przebudowy sieci wodociągowej z rur Dz180x16,4mm TS PE100RC SDR11 PN10 (rury trójwarstwowe) na odcinku od W5 do W6 o długości 85m zgodnie z projektem budowlanym opracowanym przez </w:t>
      </w:r>
      <w:proofErr w:type="spellStart"/>
      <w:r w:rsidRPr="008714C1">
        <w:rPr>
          <w:rFonts w:ascii="Times New Roman" w:hAnsi="Times New Roman"/>
          <w:sz w:val="24"/>
          <w:szCs w:val="24"/>
        </w:rPr>
        <w:t>PWiK</w:t>
      </w:r>
      <w:proofErr w:type="spellEnd"/>
      <w:r w:rsidRPr="008714C1">
        <w:rPr>
          <w:rFonts w:ascii="Times New Roman" w:hAnsi="Times New Roman"/>
          <w:sz w:val="24"/>
          <w:szCs w:val="24"/>
        </w:rPr>
        <w:t xml:space="preserve"> Sp. z o.o. z siedzibą w Kaliszu.</w:t>
      </w:r>
    </w:p>
    <w:p w14:paraId="2D348A08" w14:textId="1CD6DB40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Wykonanie wymiany przyłączy wody wraz z wymianą podejść wodomierzowych do posesji: Pl. Św. Józefa 12,  Kolegialna 3, Pl. Św. Józefa 2-4-6, Jana Pawła II 3, Kolegialna 5 o długości łącznej ok. 60m Materiał: PE100 SDR17 Dz40x2,4mm, PE100 SDR17 Dz50x3,0mm, PE100 SDR17 Dz63x3,8mm</w:t>
      </w:r>
      <w:r w:rsidR="00445172">
        <w:rPr>
          <w:rFonts w:ascii="Times New Roman" w:hAnsi="Times New Roman"/>
          <w:sz w:val="24"/>
          <w:szCs w:val="24"/>
        </w:rPr>
        <w:t>.</w:t>
      </w:r>
    </w:p>
    <w:p w14:paraId="53A02D05" w14:textId="33519FA3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Wykonanie przełączeń przyłączy wody na nowobudowany rurociąg – 6 szt.</w:t>
      </w:r>
    </w:p>
    <w:p w14:paraId="42EC0A08" w14:textId="4AD4B101" w:rsidR="00BA15EA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Wykonanie przebudowy kanalizacji ogólnospławnej o długości 38m, Materiał DN400PVC SN8 lite</w:t>
      </w:r>
      <w:r w:rsidR="002D26C1">
        <w:rPr>
          <w:rFonts w:ascii="Times New Roman" w:hAnsi="Times New Roman"/>
          <w:sz w:val="24"/>
          <w:szCs w:val="24"/>
        </w:rPr>
        <w:t>.</w:t>
      </w:r>
    </w:p>
    <w:p w14:paraId="6257A99F" w14:textId="7DF25164" w:rsidR="002D26C1" w:rsidRPr="002D26C1" w:rsidRDefault="002D26C1" w:rsidP="002D26C1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D26C1">
        <w:rPr>
          <w:rFonts w:ascii="Times New Roman" w:hAnsi="Times New Roman"/>
          <w:sz w:val="24"/>
          <w:szCs w:val="24"/>
        </w:rPr>
        <w:t xml:space="preserve">Wykonanie projektu organizacji ruchu na czas prowadzenia robót oraz na czas odtworzenia nawierzchni zgodnie z Decyzją WU.4132.90.2020 z dnia 17.09.2020r. </w:t>
      </w:r>
      <w:r>
        <w:rPr>
          <w:rFonts w:ascii="Times New Roman" w:hAnsi="Times New Roman"/>
          <w:sz w:val="24"/>
          <w:szCs w:val="24"/>
        </w:rPr>
        <w:br/>
      </w:r>
      <w:r w:rsidRPr="002D26C1">
        <w:rPr>
          <w:rFonts w:ascii="Times New Roman" w:hAnsi="Times New Roman"/>
          <w:sz w:val="24"/>
          <w:szCs w:val="24"/>
        </w:rPr>
        <w:t>i uzgodnienie projektu w ZDM Kalisz.</w:t>
      </w:r>
    </w:p>
    <w:p w14:paraId="7449C05A" w14:textId="4773D34F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8714C1">
        <w:rPr>
          <w:rFonts w:ascii="Times New Roman" w:hAnsi="Times New Roman"/>
          <w:spacing w:val="-2"/>
          <w:sz w:val="24"/>
          <w:szCs w:val="24"/>
        </w:rPr>
        <w:t>Wykonanie odtworzenia nawierzchni zgodnie z „Projektem odtworzenia nawierzchni po wybudowaniu sieci wodociągowej” opracowanym przez Zakład Usług Projektowo</w:t>
      </w:r>
      <w:r w:rsidR="00635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14C1">
        <w:rPr>
          <w:rFonts w:ascii="Times New Roman" w:hAnsi="Times New Roman"/>
          <w:spacing w:val="-2"/>
          <w:sz w:val="24"/>
          <w:szCs w:val="24"/>
        </w:rPr>
        <w:t>-Budowlanych „R-Projekt”.</w:t>
      </w:r>
    </w:p>
    <w:p w14:paraId="5DF4DAD5" w14:textId="657C14C0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Uzyskanie protokołu odbioru pasa drogowego z Zarządu Dróg Miejskich w Kaliszu.</w:t>
      </w:r>
    </w:p>
    <w:p w14:paraId="5C1B34F9" w14:textId="6434EB4E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inwentaryzacji powykonawczej sieci wodociągowej wraz z przyłączami </w:t>
      </w:r>
      <w:r w:rsidRPr="008714C1">
        <w:rPr>
          <w:rFonts w:ascii="Times New Roman" w:hAnsi="Times New Roman"/>
          <w:sz w:val="24"/>
          <w:szCs w:val="24"/>
        </w:rPr>
        <w:br/>
        <w:t>i kanalizacją ogólnospławną.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0" w:name="_Hlk66966839"/>
    </w:p>
    <w:p w14:paraId="3003DC47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Prowadzenie prac przy zapewnieniu ciągłości dostaw wody dla odbiorców.</w:t>
      </w:r>
    </w:p>
    <w:p w14:paraId="1F266E0E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0B127E9F" w14:textId="71A4F94E" w:rsidR="00F21DCF" w:rsidRPr="00F21DCF" w:rsidRDefault="00F21DCF" w:rsidP="00F21DCF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nieujawnionych na podkładach geodezyjnych). </w:t>
      </w:r>
      <w:bookmarkEnd w:id="0"/>
    </w:p>
    <w:p w14:paraId="5F9057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72C2377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lastRenderedPageBreak/>
        <w:t>Wszystkie sprawy związane ze zwolnieniem i odbiorem pasa drogowego oraz ewentualnymi naprawami gwarancyjnymi leżą po stronie Wykonawcy.</w:t>
      </w:r>
    </w:p>
    <w:p w14:paraId="4359422E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4BB638D4" w14:textId="77777777" w:rsidR="00F21DCF" w:rsidRPr="00AB2FB9" w:rsidRDefault="00F21DCF" w:rsidP="00F21DCF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podłączeń rurociągów, </w:t>
      </w:r>
      <w:r w:rsidRPr="00AB2F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 uprzednim przygotowaniu przez Wykonawcę wykopu w miejscu włączenia.</w:t>
      </w:r>
    </w:p>
    <w:p w14:paraId="28AEE7A5" w14:textId="16D5E517" w:rsidR="00F21DCF" w:rsidRPr="00F21DCF" w:rsidRDefault="00F21DCF" w:rsidP="00F21DCF">
      <w:pPr>
        <w:numPr>
          <w:ilvl w:val="0"/>
          <w:numId w:val="31"/>
        </w:numPr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Dostarczenie kompletu armatury do zabudowy </w:t>
      </w:r>
      <w:bookmarkStart w:id="2" w:name="_Hlk69109705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(zasuwa DN150 – 2szt., zasuwa DN100 – 3szt., zasuwa DN80 - 2szt., hydrant podziemny DN80 -</w:t>
      </w:r>
      <w:r w:rsidR="00635584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 </w:t>
      </w:r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2szt., </w:t>
      </w:r>
      <w:proofErr w:type="spellStart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nawiertka</w:t>
      </w:r>
      <w:proofErr w:type="spellEnd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 – 14 szt.).</w:t>
      </w:r>
      <w:bookmarkEnd w:id="2"/>
    </w:p>
    <w:p w14:paraId="689EE76F" w14:textId="0708968B" w:rsidR="00F21DCF" w:rsidRDefault="00F21DCF" w:rsidP="00F21DCF">
      <w:pPr>
        <w:numPr>
          <w:ilvl w:val="0"/>
          <w:numId w:val="31"/>
        </w:numPr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Nadzór archeologiczny.</w:t>
      </w:r>
      <w:bookmarkStart w:id="3" w:name="_Hlk66967127"/>
      <w:bookmarkEnd w:id="1"/>
    </w:p>
    <w:p w14:paraId="6F83FD47" w14:textId="77777777" w:rsidR="00F21DCF" w:rsidRPr="00F21DCF" w:rsidRDefault="00F21DCF" w:rsidP="00F21DCF">
      <w:pPr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76031604" w14:textId="77777777" w:rsidR="00F21DCF" w:rsidRPr="00F21DCF" w:rsidRDefault="00F21DCF" w:rsidP="00F21DC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 należy prowadzić zgodnie z:</w:t>
      </w:r>
    </w:p>
    <w:p w14:paraId="6F708CB7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ZDM w Kaliszu Decyzją WU.4132.90.2020 z dnia 17.09.2020r.</w:t>
      </w:r>
    </w:p>
    <w:p w14:paraId="4BD32CA9" w14:textId="126520C0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ą</w:t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WU.4132.90.1.2020 z dnia 31.03.2021r.</w:t>
      </w:r>
    </w:p>
    <w:p w14:paraId="7F6523AF" w14:textId="1E58B2C2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ą</w:t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WU.4132.90.2.2020 z dnia 12.04.2021r.</w:t>
      </w:r>
    </w:p>
    <w:p w14:paraId="6616FE09" w14:textId="2B60E4CC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>Projektem odtworzenia nawierzchni po wybudowaniu sieci wodociągowe</w:t>
      </w:r>
      <w:r w:rsidR="00B604DA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>j</w:t>
      </w:r>
      <w:r w:rsidRPr="00F21DCF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 xml:space="preserve"> opracowanym przez Zakład Usług Projektowo-Budowlanych „R-Projekt”.</w:t>
      </w:r>
    </w:p>
    <w:p w14:paraId="1B1C9D14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Zatwierdzonym projektem organizacji robót.</w:t>
      </w:r>
    </w:p>
    <w:p w14:paraId="33C2BAC5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Pozwoleniem Nr 784/2020/A z dnia 20.10.2020r. Wielkopolskiego Wojewódzkiego Konserwatora Zabytków – nadzór archeologiczny zapewnia Inwestor.</w:t>
      </w:r>
    </w:p>
    <w:p w14:paraId="5083DB60" w14:textId="2405D896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W koordynacji i zgodnie z wytycznymi działającego na zlecenie </w:t>
      </w:r>
      <w:proofErr w:type="spellStart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PWiK</w:t>
      </w:r>
      <w:proofErr w:type="spellEnd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Spółka z o.o. 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br/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z/s w Kaliszu archeologa: Pan Jarosław </w:t>
      </w:r>
      <w:proofErr w:type="spellStart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Teske</w:t>
      </w:r>
      <w:proofErr w:type="spellEnd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p w14:paraId="6D83DA79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Protokołem z narady koordynacyjnej Nr WGK.6630.456.2020 z dnia 28.10.2020r.</w:t>
      </w:r>
    </w:p>
    <w:p w14:paraId="4B3A909A" w14:textId="243E1647" w:rsidR="008E5040" w:rsidRPr="00F21DCF" w:rsidRDefault="00F21DCF" w:rsidP="00F21DCF">
      <w:pPr>
        <w:widowControl w:val="0"/>
        <w:numPr>
          <w:ilvl w:val="0"/>
          <w:numId w:val="37"/>
        </w:numPr>
        <w:spacing w:before="120"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Projektem budowlanym przebudowy sieci wodociągowej wraz z wymianą przyłączy wodociągowych i kanalizacji ogólnospławnej w ul. Kolegialnej, ul. Łaziennej,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PL. Św. Józefa i Pl. Jana Pawła II opracowanym przez </w:t>
      </w:r>
      <w:proofErr w:type="spellStart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– październik 2020r.</w:t>
      </w:r>
      <w:bookmarkEnd w:id="3"/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4D452FF5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 xml:space="preserve">wejścia na budowę: od </w:t>
      </w:r>
      <w:r w:rsidR="007663C0">
        <w:rPr>
          <w:rFonts w:ascii="Times New Roman" w:hAnsi="Times New Roman"/>
          <w:sz w:val="24"/>
          <w:szCs w:val="24"/>
        </w:rPr>
        <w:t>1</w:t>
      </w:r>
      <w:r w:rsidR="008714C1">
        <w:rPr>
          <w:rFonts w:ascii="Times New Roman" w:hAnsi="Times New Roman"/>
          <w:sz w:val="24"/>
          <w:szCs w:val="24"/>
        </w:rPr>
        <w:t>0</w:t>
      </w:r>
      <w:r w:rsidR="00595490" w:rsidRPr="00293BA1">
        <w:rPr>
          <w:rFonts w:ascii="Times New Roman" w:hAnsi="Times New Roman"/>
          <w:sz w:val="24"/>
          <w:szCs w:val="24"/>
        </w:rPr>
        <w:t>.0</w:t>
      </w:r>
      <w:r w:rsidR="008714C1">
        <w:rPr>
          <w:rFonts w:ascii="Times New Roman" w:hAnsi="Times New Roman"/>
          <w:sz w:val="24"/>
          <w:szCs w:val="24"/>
        </w:rPr>
        <w:t>6</w:t>
      </w:r>
      <w:r w:rsidR="00595490" w:rsidRPr="00293BA1">
        <w:rPr>
          <w:rFonts w:ascii="Times New Roman" w:hAnsi="Times New Roman"/>
          <w:sz w:val="24"/>
          <w:szCs w:val="24"/>
        </w:rPr>
        <w:t>.2021r.</w:t>
      </w:r>
    </w:p>
    <w:p w14:paraId="22AC2893" w14:textId="56EE4C30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7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4D1A8D45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F21DCF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527EC12A" w14:textId="3F3639E1" w:rsidR="00F21DCF" w:rsidRDefault="00E32296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7712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7712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1E57496D" w14:textId="77777777" w:rsidR="00B604DA" w:rsidRPr="00F21DCF" w:rsidRDefault="00B604DA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lastRenderedPageBreak/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5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9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1"/>
  </w:num>
  <w:num w:numId="5">
    <w:abstractNumId w:val="11"/>
  </w:num>
  <w:num w:numId="6">
    <w:abstractNumId w:val="31"/>
  </w:num>
  <w:num w:numId="7">
    <w:abstractNumId w:val="26"/>
  </w:num>
  <w:num w:numId="8">
    <w:abstractNumId w:val="33"/>
  </w:num>
  <w:num w:numId="9">
    <w:abstractNumId w:val="3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5"/>
  </w:num>
  <w:num w:numId="21">
    <w:abstractNumId w:val="5"/>
  </w:num>
  <w:num w:numId="22">
    <w:abstractNumId w:val="24"/>
  </w:num>
  <w:num w:numId="23">
    <w:abstractNumId w:val="18"/>
  </w:num>
  <w:num w:numId="24">
    <w:abstractNumId w:val="19"/>
  </w:num>
  <w:num w:numId="25">
    <w:abstractNumId w:val="7"/>
  </w:num>
  <w:num w:numId="26">
    <w:abstractNumId w:val="0"/>
  </w:num>
  <w:num w:numId="27">
    <w:abstractNumId w:val="20"/>
  </w:num>
  <w:num w:numId="28">
    <w:abstractNumId w:val="13"/>
  </w:num>
  <w:num w:numId="29">
    <w:abstractNumId w:val="27"/>
  </w:num>
  <w:num w:numId="30">
    <w:abstractNumId w:val="9"/>
  </w:num>
  <w:num w:numId="31">
    <w:abstractNumId w:val="15"/>
  </w:num>
  <w:num w:numId="32">
    <w:abstractNumId w:val="29"/>
  </w:num>
  <w:num w:numId="33">
    <w:abstractNumId w:val="32"/>
  </w:num>
  <w:num w:numId="34">
    <w:abstractNumId w:val="22"/>
  </w:num>
  <w:num w:numId="35">
    <w:abstractNumId w:val="17"/>
  </w:num>
  <w:num w:numId="36">
    <w:abstractNumId w:val="21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1297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62</cp:revision>
  <cp:lastPrinted>2021-04-28T08:32:00Z</cp:lastPrinted>
  <dcterms:created xsi:type="dcterms:W3CDTF">2019-09-04T10:49:00Z</dcterms:created>
  <dcterms:modified xsi:type="dcterms:W3CDTF">2021-04-28T08:47:00Z</dcterms:modified>
</cp:coreProperties>
</file>